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D0B66" w14:textId="77777777" w:rsidR="007F307F" w:rsidRPr="00984D48" w:rsidRDefault="007F307F" w:rsidP="007F307F">
      <w:pPr>
        <w:shd w:val="clear" w:color="auto" w:fill="F0F2F9"/>
        <w:outlineLvl w:val="1"/>
        <w:rPr>
          <w:rFonts w:ascii="Poppins" w:eastAsia="Times New Roman" w:hAnsi="Poppins" w:cs="Poppins"/>
          <w:b/>
          <w:bCs/>
          <w:color w:val="273361"/>
          <w:sz w:val="36"/>
          <w:szCs w:val="36"/>
          <w:lang w:eastAsia="cs-CZ"/>
        </w:rPr>
      </w:pPr>
      <w:r w:rsidRPr="00984D48">
        <w:rPr>
          <w:rFonts w:ascii="Poppins" w:eastAsia="Times New Roman" w:hAnsi="Poppins" w:cs="Poppins"/>
          <w:b/>
          <w:bCs/>
          <w:color w:val="273361"/>
          <w:sz w:val="36"/>
          <w:szCs w:val="36"/>
          <w:lang w:eastAsia="cs-CZ"/>
        </w:rPr>
        <w:t>Představení Národního plánu obnovy </w:t>
      </w:r>
    </w:p>
    <w:p w14:paraId="063B2C76" w14:textId="77777777" w:rsidR="007F307F" w:rsidRPr="00984D48" w:rsidRDefault="0077223C" w:rsidP="007F307F">
      <w:pPr>
        <w:jc w:val="both"/>
        <w:rPr>
          <w:rFonts w:ascii="Poppins" w:eastAsia="Times New Roman" w:hAnsi="Poppins" w:cs="Poppins"/>
          <w:lang w:eastAsia="cs-CZ"/>
        </w:rPr>
      </w:pPr>
      <w:r>
        <w:rPr>
          <w:rFonts w:ascii="Poppins" w:eastAsia="Times New Roman" w:hAnsi="Poppins" w:cs="Poppins"/>
          <w:noProof/>
          <w:lang w:eastAsia="cs-CZ"/>
        </w:rPr>
        <w:pict w14:anchorId="72C47886">
          <v:rect id="_x0000_i1027" alt="" style="width:453.6pt;height:.05pt;mso-width-percent:0;mso-height-percent:0;mso-width-percent:0;mso-height-percent:0" o:hralign="center" o:hrstd="t" o:hrnoshade="t" o:hr="t" fillcolor="#8ed1fc" stroked="f"/>
        </w:pict>
      </w:r>
    </w:p>
    <w:p w14:paraId="27256DA1" w14:textId="77777777" w:rsidR="007F307F" w:rsidRPr="00984D48" w:rsidRDefault="007F307F" w:rsidP="007F307F">
      <w:pPr>
        <w:shd w:val="clear" w:color="auto" w:fill="F5F5F5"/>
        <w:jc w:val="both"/>
        <w:rPr>
          <w:rFonts w:ascii="Poppins" w:eastAsia="Times New Roman" w:hAnsi="Poppins" w:cs="Poppins"/>
          <w:lang w:eastAsia="cs-CZ"/>
        </w:rPr>
      </w:pPr>
      <w:r w:rsidRPr="00984D48">
        <w:rPr>
          <w:rFonts w:ascii="Poppins" w:eastAsia="Times New Roman" w:hAnsi="Poppins" w:cs="Poppins"/>
          <w:b/>
          <w:bCs/>
          <w:color w:val="363636"/>
          <w:lang w:eastAsia="cs-CZ"/>
        </w:rPr>
        <w:t>Národní plán obnovy (dále jen „NPO“)</w:t>
      </w:r>
      <w:r w:rsidRPr="00984D48">
        <w:rPr>
          <w:rFonts w:ascii="Poppins" w:eastAsia="Times New Roman" w:hAnsi="Poppins" w:cs="Poppins"/>
          <w:lang w:eastAsia="cs-CZ"/>
        </w:rPr>
        <w:t> se začal připravovat v červenci 2020 a některé reformní a investiční aktivity Ministerstva školství, mládeže a tělovýchovy (dále jen „MŠMT“) do značné míry vyplynuly z tehdy připravované Hospodářské strategie České republiky 2020-2030. Příprava probíhala opravdu velmi intenzivně téměř celý rok, kdy tým přibližně 10 zaměstnanců MŠMT napříč celým úřadem i samotnou hierarchií měl téměř neustálou pohotovost plnit zadání Evropské komise a Ministerstva průmyslu a obchodu, které je národním koordinátorem.</w:t>
      </w:r>
    </w:p>
    <w:p w14:paraId="61EB8D42" w14:textId="77777777" w:rsidR="007F307F" w:rsidRPr="00984D48" w:rsidRDefault="0077223C" w:rsidP="007F307F">
      <w:pPr>
        <w:jc w:val="both"/>
        <w:rPr>
          <w:rFonts w:ascii="Poppins" w:eastAsia="Times New Roman" w:hAnsi="Poppins" w:cs="Poppins"/>
          <w:lang w:eastAsia="cs-CZ"/>
        </w:rPr>
      </w:pPr>
      <w:r>
        <w:rPr>
          <w:rFonts w:ascii="Poppins" w:eastAsia="Times New Roman" w:hAnsi="Poppins" w:cs="Poppins"/>
          <w:noProof/>
          <w:lang w:eastAsia="cs-CZ"/>
        </w:rPr>
        <w:pict w14:anchorId="0CAF7256">
          <v:rect id="_x0000_i1026" alt="" style="width:453.6pt;height:.05pt;mso-width-percent:0;mso-height-percent:0;mso-width-percent:0;mso-height-percent:0" o:hralign="center" o:hrstd="t" o:hrnoshade="t" o:hr="t" fillcolor="#8ed1fc" stroked="f"/>
        </w:pict>
      </w:r>
    </w:p>
    <w:p w14:paraId="2496F9AA" w14:textId="77777777" w:rsidR="007F307F" w:rsidRPr="00984D48" w:rsidRDefault="007F307F" w:rsidP="007F307F">
      <w:pPr>
        <w:spacing w:after="240"/>
        <w:jc w:val="both"/>
        <w:rPr>
          <w:rFonts w:ascii="Poppins" w:eastAsia="Times New Roman" w:hAnsi="Poppins" w:cs="Poppins"/>
          <w:lang w:eastAsia="cs-CZ"/>
        </w:rPr>
      </w:pPr>
      <w:r w:rsidRPr="00984D48">
        <w:rPr>
          <w:rFonts w:ascii="Poppins" w:eastAsia="Times New Roman" w:hAnsi="Poppins" w:cs="Poppins"/>
          <w:b/>
          <w:bCs/>
          <w:color w:val="363636"/>
          <w:lang w:eastAsia="cs-CZ"/>
        </w:rPr>
        <w:t>NPO byl dne 17. května 2021 schválen vládou České republiky</w:t>
      </w:r>
      <w:r w:rsidRPr="00984D48">
        <w:rPr>
          <w:rFonts w:ascii="Poppins" w:eastAsia="Times New Roman" w:hAnsi="Poppins" w:cs="Poppins"/>
          <w:lang w:eastAsia="cs-CZ"/>
        </w:rPr>
        <w:t> a následně byl odeslán Evropské komisi k posouzení. Předsedkyně Evropské komise paní Ursula von der Leyenová při návštěvě ČR dne 19. července 2021 sdělila, že český NPO je Komisí podporován a postupují ho do dalšího schvalovacího procesu, což znamenalo schválení Hospodářským a finančním výborem (EFC), Pracovní skupinou finančních radů (FiCO), Coreper II, což je neformální skupina složená ze stálých zástupců všech členských států, a následně byl </w:t>
      </w:r>
      <w:r w:rsidRPr="00984D48">
        <w:rPr>
          <w:rFonts w:ascii="Poppins" w:eastAsia="Times New Roman" w:hAnsi="Poppins" w:cs="Poppins"/>
          <w:b/>
          <w:bCs/>
          <w:color w:val="363636"/>
          <w:lang w:eastAsia="cs-CZ"/>
        </w:rPr>
        <w:t>NPO definitivně schválen dne 6. září 2021 Radou ministrů financí EU (ECOFIN)</w:t>
      </w:r>
      <w:r w:rsidRPr="00984D48">
        <w:rPr>
          <w:rFonts w:ascii="Poppins" w:eastAsia="Times New Roman" w:hAnsi="Poppins" w:cs="Poppins"/>
          <w:lang w:eastAsia="cs-CZ"/>
        </w:rPr>
        <w:t>. České republice bude podle stávajících výpočtů přiděleno ve formě grantů 179 mld. Kč, které mají pokrývat 100 % výdajů na NPO záměry. MŠMT by mělo disponovat částkou okolo 23 mld. Kč.</w:t>
      </w:r>
    </w:p>
    <w:p w14:paraId="4EF4BCAF" w14:textId="77777777" w:rsidR="007F307F" w:rsidRPr="00984D48" w:rsidRDefault="007F307F" w:rsidP="007F307F">
      <w:pPr>
        <w:spacing w:after="240"/>
        <w:jc w:val="both"/>
        <w:rPr>
          <w:rFonts w:ascii="Poppins" w:eastAsia="Times New Roman" w:hAnsi="Poppins" w:cs="Poppins"/>
          <w:lang w:eastAsia="cs-CZ"/>
        </w:rPr>
      </w:pPr>
      <w:r w:rsidRPr="00984D48">
        <w:rPr>
          <w:rFonts w:ascii="Poppins" w:eastAsia="Times New Roman" w:hAnsi="Poppins" w:cs="Poppins"/>
          <w:lang w:eastAsia="cs-CZ"/>
        </w:rPr>
        <w:t>Důvodem, </w:t>
      </w:r>
      <w:r w:rsidRPr="00984D48">
        <w:rPr>
          <w:rFonts w:ascii="Poppins" w:eastAsia="Times New Roman" w:hAnsi="Poppins" w:cs="Poppins"/>
          <w:b/>
          <w:bCs/>
          <w:color w:val="363636"/>
          <w:lang w:eastAsia="cs-CZ"/>
        </w:rPr>
        <w:t>proč se NPO připravoval</w:t>
      </w:r>
      <w:r w:rsidRPr="00984D48">
        <w:rPr>
          <w:rFonts w:ascii="Poppins" w:eastAsia="Times New Roman" w:hAnsi="Poppins" w:cs="Poppins"/>
          <w:lang w:eastAsia="cs-CZ"/>
        </w:rPr>
        <w:t>, byla možnost čerpat finanční prostředky z nově zřízeného Nástroje pro oživení a odolnost (EU) 2021/241 ze dne 12. února 2021, pro který se často užívá zkratky RRF jako </w:t>
      </w:r>
      <w:r w:rsidRPr="00984D48">
        <w:rPr>
          <w:rFonts w:ascii="Poppins" w:eastAsia="Times New Roman" w:hAnsi="Poppins" w:cs="Poppins"/>
          <w:i/>
          <w:iCs/>
          <w:lang w:eastAsia="cs-CZ"/>
        </w:rPr>
        <w:t>Recovery and Resilience Facility</w:t>
      </w:r>
      <w:r w:rsidRPr="00984D48">
        <w:rPr>
          <w:rFonts w:ascii="Poppins" w:eastAsia="Times New Roman" w:hAnsi="Poppins" w:cs="Poppins"/>
          <w:lang w:eastAsia="cs-CZ"/>
        </w:rPr>
        <w:t>. </w:t>
      </w:r>
      <w:r w:rsidRPr="00984D48">
        <w:rPr>
          <w:rFonts w:ascii="Poppins" w:eastAsia="Times New Roman" w:hAnsi="Poppins" w:cs="Poppins"/>
          <w:b/>
          <w:bCs/>
          <w:color w:val="363636"/>
          <w:lang w:eastAsia="cs-CZ"/>
        </w:rPr>
        <w:t>V souvislosti s krizí způsobenou onemocněním viru COVID-19 se Evropská komise rozhodla poskytnout přímou finanční podporu</w:t>
      </w:r>
      <w:r w:rsidRPr="00984D48">
        <w:rPr>
          <w:rFonts w:ascii="Poppins" w:eastAsia="Times New Roman" w:hAnsi="Poppins" w:cs="Poppins"/>
          <w:lang w:eastAsia="cs-CZ"/>
        </w:rPr>
        <w:t> členským státům prostřednictvím inovativního nástroje, který pokryje veškeré výdaje na předem schválené reformy a investice. Evropská komise kladla v čase čím dál větší důraz na jejich podobu a žádala si při průběžných konzultacích doložení, že to, co do NPO propisujeme, máme důkladně zváženo, alokace jsou napočítány na základě doložitelných informací a vše je navázáno na národní strategie či jinak ukotvené priority České republiky. Bylo nutné také reflektovat to, co nám Evropská unie doporučuje v dokumentech nazvaných Doporučení Rady neboli </w:t>
      </w:r>
      <w:r w:rsidRPr="00984D48">
        <w:rPr>
          <w:rFonts w:ascii="Poppins" w:eastAsia="Times New Roman" w:hAnsi="Poppins" w:cs="Poppins"/>
          <w:i/>
          <w:iCs/>
          <w:lang w:eastAsia="cs-CZ"/>
        </w:rPr>
        <w:t>Country Specific Recommendations</w:t>
      </w:r>
      <w:r w:rsidRPr="00984D48">
        <w:rPr>
          <w:rFonts w:ascii="Poppins" w:eastAsia="Times New Roman" w:hAnsi="Poppins" w:cs="Poppins"/>
          <w:lang w:eastAsia="cs-CZ"/>
        </w:rPr>
        <w:t> za roky 2019 a 2020. </w:t>
      </w:r>
      <w:r w:rsidRPr="00984D48">
        <w:rPr>
          <w:rFonts w:ascii="Poppins" w:eastAsia="Times New Roman" w:hAnsi="Poppins" w:cs="Poppins"/>
          <w:b/>
          <w:bCs/>
          <w:color w:val="363636"/>
          <w:lang w:eastAsia="cs-CZ"/>
        </w:rPr>
        <w:t xml:space="preserve">Plány obnovy všech členských států musí zároveň podporovat zejména digitální a zelenou </w:t>
      </w:r>
      <w:r w:rsidRPr="00984D48">
        <w:rPr>
          <w:rFonts w:ascii="Poppins" w:eastAsia="Times New Roman" w:hAnsi="Poppins" w:cs="Poppins"/>
          <w:b/>
          <w:bCs/>
          <w:color w:val="363636"/>
          <w:lang w:eastAsia="cs-CZ"/>
        </w:rPr>
        <w:lastRenderedPageBreak/>
        <w:t>transformaci</w:t>
      </w:r>
      <w:r w:rsidRPr="00984D48">
        <w:rPr>
          <w:rFonts w:ascii="Poppins" w:eastAsia="Times New Roman" w:hAnsi="Poppins" w:cs="Poppins"/>
          <w:lang w:eastAsia="cs-CZ"/>
        </w:rPr>
        <w:t>, což v číslech znamená, že všechny resorty státní správy, které jsou tzv. vlastníky komponent, musely svými záměry v návaznosti mimo jiné i na </w:t>
      </w:r>
      <w:hyperlink r:id="rId4" w:tgtFrame="_blank" w:history="1">
        <w:proofErr w:type="gramStart"/>
        <w:r w:rsidRPr="00984D48">
          <w:rPr>
            <w:rFonts w:ascii="Poppins" w:eastAsia="Times New Roman" w:hAnsi="Poppins" w:cs="Poppins"/>
            <w:color w:val="00AAFF"/>
            <w:u w:val="single"/>
            <w:lang w:eastAsia="cs-CZ"/>
          </w:rPr>
          <w:t>Zelenou</w:t>
        </w:r>
        <w:proofErr w:type="gramEnd"/>
        <w:r w:rsidRPr="00984D48">
          <w:rPr>
            <w:rFonts w:ascii="Poppins" w:eastAsia="Times New Roman" w:hAnsi="Poppins" w:cs="Poppins"/>
            <w:color w:val="00AAFF"/>
            <w:u w:val="single"/>
            <w:lang w:eastAsia="cs-CZ"/>
          </w:rPr>
          <w:t xml:space="preserve"> dohodu pro Evropu</w:t>
        </w:r>
      </w:hyperlink>
      <w:r w:rsidRPr="00984D48">
        <w:rPr>
          <w:rFonts w:ascii="Poppins" w:eastAsia="Times New Roman" w:hAnsi="Poppins" w:cs="Poppins"/>
          <w:lang w:eastAsia="cs-CZ"/>
        </w:rPr>
        <w:t> přispět alespoň 37 % z celkových finančních prostředků NPO do oblasti klimatu a environmentální udržitelnosti. A pak 20 % na výdaje související s digitalizací. MŠMT přispělo primárně k naplnění digitální transformace.</w:t>
      </w:r>
    </w:p>
    <w:p w14:paraId="1DF75BD2" w14:textId="77777777" w:rsidR="007F307F" w:rsidRPr="00984D48" w:rsidRDefault="0077223C" w:rsidP="007F307F">
      <w:pPr>
        <w:jc w:val="both"/>
        <w:rPr>
          <w:rFonts w:ascii="Poppins" w:eastAsia="Times New Roman" w:hAnsi="Poppins" w:cs="Poppins"/>
          <w:lang w:eastAsia="cs-CZ"/>
        </w:rPr>
      </w:pPr>
      <w:r>
        <w:rPr>
          <w:rFonts w:ascii="Poppins" w:eastAsia="Times New Roman" w:hAnsi="Poppins" w:cs="Poppins"/>
          <w:noProof/>
          <w:lang w:eastAsia="cs-CZ"/>
        </w:rPr>
        <w:pict w14:anchorId="4C1DD372">
          <v:rect id="_x0000_i1025" alt="" style="width:453.6pt;height:.05pt;mso-width-percent:0;mso-height-percent:0;mso-width-percent:0;mso-height-percent:0" o:hralign="center" o:hrstd="t" o:hrnoshade="t" o:hr="t" fillcolor="#8ed1fc" stroked="f"/>
        </w:pict>
      </w:r>
    </w:p>
    <w:p w14:paraId="358A3D63" w14:textId="77777777" w:rsidR="007F307F" w:rsidRPr="00984D48" w:rsidRDefault="007F307F" w:rsidP="007F307F">
      <w:pPr>
        <w:spacing w:after="240"/>
        <w:jc w:val="both"/>
        <w:rPr>
          <w:rFonts w:ascii="Poppins" w:eastAsia="Times New Roman" w:hAnsi="Poppins" w:cs="Poppins"/>
          <w:lang w:eastAsia="cs-CZ"/>
        </w:rPr>
      </w:pPr>
      <w:r w:rsidRPr="00984D48">
        <w:rPr>
          <w:rFonts w:ascii="Poppins" w:eastAsia="Times New Roman" w:hAnsi="Poppins" w:cs="Poppins"/>
          <w:b/>
          <w:bCs/>
          <w:color w:val="363636"/>
          <w:lang w:eastAsia="cs-CZ"/>
        </w:rPr>
        <w:t>Obecné informace k NPO</w:t>
      </w:r>
      <w:r w:rsidRPr="00984D48">
        <w:rPr>
          <w:rFonts w:ascii="Poppins" w:eastAsia="Times New Roman" w:hAnsi="Poppins" w:cs="Poppins"/>
          <w:lang w:eastAsia="cs-CZ"/>
        </w:rPr>
        <w:t> naleznete na tomto odkazu </w:t>
      </w:r>
      <w:hyperlink r:id="rId5" w:tgtFrame="_blank" w:history="1">
        <w:r w:rsidRPr="00984D48">
          <w:rPr>
            <w:rFonts w:ascii="Poppins" w:eastAsia="Times New Roman" w:hAnsi="Poppins" w:cs="Poppins"/>
            <w:color w:val="00AAFF"/>
            <w:u w:val="single"/>
            <w:lang w:eastAsia="cs-CZ"/>
          </w:rPr>
          <w:t>www.planobnovycr.cz</w:t>
        </w:r>
      </w:hyperlink>
      <w:r w:rsidRPr="00984D48">
        <w:rPr>
          <w:rFonts w:ascii="Poppins" w:eastAsia="Times New Roman" w:hAnsi="Poppins" w:cs="Poppins"/>
          <w:lang w:eastAsia="cs-CZ"/>
        </w:rPr>
        <w:t> Už ale pro vás připravujeme také představení záměrů MŠMT na stránce </w:t>
      </w:r>
      <w:hyperlink r:id="rId6" w:tgtFrame="_blank" w:history="1">
        <w:r w:rsidRPr="00984D48">
          <w:rPr>
            <w:rFonts w:ascii="Poppins" w:eastAsia="Times New Roman" w:hAnsi="Poppins" w:cs="Poppins"/>
            <w:color w:val="00AAFF"/>
            <w:u w:val="single"/>
            <w:lang w:eastAsia="cs-CZ"/>
          </w:rPr>
          <w:t>https://www.edu.cz/npo/</w:t>
        </w:r>
      </w:hyperlink>
      <w:r w:rsidRPr="00984D48">
        <w:rPr>
          <w:rFonts w:ascii="Poppins" w:eastAsia="Times New Roman" w:hAnsi="Poppins" w:cs="Poppins"/>
          <w:lang w:eastAsia="cs-CZ"/>
        </w:rPr>
        <w:t>. Zároveň na této stránce budou vždy uveřejňovány veškeré výzvy, avíza, veřejné soutěže atd., kde si budete moci žádat o finanční prostředky pro vaši školu či instituci.</w:t>
      </w:r>
    </w:p>
    <w:p w14:paraId="1361DE5A" w14:textId="77777777" w:rsidR="007F307F" w:rsidRPr="00984D48" w:rsidRDefault="007F307F" w:rsidP="007F307F">
      <w:pPr>
        <w:rPr>
          <w:rFonts w:ascii="Times New Roman" w:eastAsia="Times New Roman" w:hAnsi="Times New Roman" w:cs="Times New Roman"/>
          <w:lang w:eastAsia="cs-CZ"/>
        </w:rPr>
      </w:pPr>
    </w:p>
    <w:p w14:paraId="2C9BDEF0" w14:textId="77777777" w:rsidR="007F307F" w:rsidRDefault="007F307F" w:rsidP="007F307F"/>
    <w:p w14:paraId="620FD5ED" w14:textId="77777777" w:rsidR="00C52944" w:rsidRDefault="00C52944"/>
    <w:sectPr w:rsidR="00C5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07F"/>
    <w:rsid w:val="0077223C"/>
    <w:rsid w:val="007F307F"/>
    <w:rsid w:val="00C5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5D951"/>
  <w15:chartTrackingRefBased/>
  <w15:docId w15:val="{27F1D795-0DE1-0345-AFAB-2AED9EB4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30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u.cz/npo/" TargetMode="External"/><Relationship Id="rId5" Type="http://schemas.openxmlformats.org/officeDocument/2006/relationships/hyperlink" Target="http://www.planobnovycr.cz" TargetMode="External"/><Relationship Id="rId4" Type="http://schemas.openxmlformats.org/officeDocument/2006/relationships/hyperlink" Target="https://ec.europa.eu/info/strategy/priorities-2019-2024/european-green-deal_c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2023-05-30T13:49:00Z</dcterms:created>
  <dcterms:modified xsi:type="dcterms:W3CDTF">2023-05-30T13:49:00Z</dcterms:modified>
</cp:coreProperties>
</file>