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22045" w14:textId="77777777" w:rsidR="005E0A42" w:rsidRPr="005E0A42" w:rsidRDefault="005E0A42" w:rsidP="005E0A42">
      <w:pPr>
        <w:pBdr>
          <w:left w:val="single" w:sz="24" w:space="8" w:color="005573"/>
        </w:pBdr>
        <w:shd w:val="clear" w:color="auto" w:fill="FAFAFA"/>
        <w:spacing w:before="240" w:after="120" w:line="240" w:lineRule="auto"/>
        <w:outlineLvl w:val="0"/>
        <w:rPr>
          <w:rFonts w:eastAsia="Times New Roman" w:cstheme="minorHAnsi"/>
          <w:color w:val="000000"/>
          <w:kern w:val="36"/>
          <w:sz w:val="45"/>
          <w:szCs w:val="45"/>
          <w:lang w:eastAsia="cs-CZ"/>
        </w:rPr>
      </w:pPr>
      <w:r w:rsidRPr="005E0A42">
        <w:rPr>
          <w:rFonts w:eastAsia="Times New Roman" w:cstheme="minorHAnsi"/>
          <w:color w:val="000000"/>
          <w:kern w:val="36"/>
          <w:sz w:val="45"/>
          <w:szCs w:val="45"/>
          <w:lang w:eastAsia="cs-CZ"/>
        </w:rPr>
        <w:t>Tisková zpráva: výsledky jednotné přijímací zkoušky 2022</w:t>
      </w:r>
    </w:p>
    <w:p w14:paraId="0D2CE584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Centrum pro zjišťování výsledků vzdělávání dnes zpřístupnilo školám výsledky jednotné přijímací zkoušky.</w:t>
      </w:r>
    </w:p>
    <w:p w14:paraId="0E6DA28B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jc w:val="both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Ve čtvrtek 28. dubna 2022 byly školám předány výsledky uchazečů o vzdělávání ve středních školách, kteří konali jednotnou přijímací zkoušku v řádných termínech ve dnech 12. a 13. dubna v případě čtyřletých oborů vzdělávání a nástaveb a 19. a 20. dubna 2022 v případě víceletých gymnázií.</w:t>
      </w:r>
    </w:p>
    <w:p w14:paraId="1F015AB5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jc w:val="both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Před zpřístupněním výsledků školám prošlo zadání didaktických testů odbornou kontrolou validační komise Centra pro zjišťování výsledků vzdělávání a Nezávislé odborné komise Ministerstva školství, mládeže a tělovýchovy. V rámci expertního posouzení tyto komise konstatovaly, že všechny testy i jednotlivé úlohy, ze kterých se testy skládají, jsou formulačně i konstrukčně v pořádku.</w:t>
      </w:r>
    </w:p>
    <w:p w14:paraId="12018BAD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jc w:val="both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K 1. březnu 2022 podalo k jednotné přijímací zkoušce přihlášku více než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103 tis. uchazečů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. V souvislosti s příchodem ukrajinských uprchlíků na území České republiky se k jednotné přijímací zkoušce v souladu se zákonem LEX Ukrajina dodatečně přihlásilo dalších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1281 uchazečů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.</w:t>
      </w:r>
    </w:p>
    <w:p w14:paraId="60582EFB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jc w:val="both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Každému uchazeči, který konal testy ve dvou termínech, se započítával lepší dosažený výsledek z matematiky a lepší dosažený výsledek z českého jazyka (výjimkou jsou uchazeči, kteří nekonali zkoušku z českého jazyka na základě § 20 odst. 4 školského zákona a kterým byl započítán pouze lepší výsledek z matematiky).</w:t>
      </w:r>
    </w:p>
    <w:p w14:paraId="320F49CC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jc w:val="both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Uvedené výsledky jsou vyjádřeny pomocí průměrného procentního skóru, tzn. podílu průměrně dosaženého počtu bodů z maximálního bodového zisku vyjádřeného v %. Do výsledků nejsou zahrnuty výsledky uchazečů dle zákona LEX Ukrajina, které jsou pro přehlednost uvedeny v samostatné části tiskové zprávy. Pro porovnání jsou u letošních údajů uvedeny také procentní skóry dosažené uchazeči v roce 2019, kdy se jednotná přijímací zkouška konala ve stejném modelu jako v letošním školním roce.</w:t>
      </w:r>
    </w:p>
    <w:p w14:paraId="0F8EDF32" w14:textId="77777777" w:rsidR="005E0A42" w:rsidRPr="005E0A42" w:rsidRDefault="005E0A42" w:rsidP="005E0A42">
      <w:pPr>
        <w:shd w:val="clear" w:color="auto" w:fill="FAFAFA"/>
        <w:spacing w:before="240" w:after="120" w:line="240" w:lineRule="auto"/>
        <w:outlineLvl w:val="1"/>
        <w:rPr>
          <w:rFonts w:eastAsia="Times New Roman" w:cstheme="minorHAnsi"/>
          <w:color w:val="000000"/>
          <w:sz w:val="38"/>
          <w:szCs w:val="38"/>
          <w:lang w:eastAsia="cs-CZ"/>
        </w:rPr>
      </w:pPr>
      <w:r w:rsidRPr="005E0A42">
        <w:rPr>
          <w:rFonts w:eastAsia="Times New Roman" w:cstheme="minorHAnsi"/>
          <w:color w:val="000000"/>
          <w:sz w:val="38"/>
          <w:szCs w:val="38"/>
          <w:lang w:eastAsia="cs-CZ"/>
        </w:rPr>
        <w:t>Čtyřleté obory a obory nástavbového studia</w:t>
      </w:r>
    </w:p>
    <w:p w14:paraId="77152A99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V rámci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čtyřletých oborů vzdělání a oborů nástavbového studia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bylo ke zkoušce přihlášeno celkem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79,6 tis. uchazečů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. Didaktické testy konalo v prvním i druhém řádném termínu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98 %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všech přihlášených žáků. Uchazeči v testech dosáhli průměrného procentního skóru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55,7 %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z českého jazyka a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45,5 %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z matematiky (v roce 2019 uchazeči získali průměrně 59,1 % bodů z češtiny a 43,1 % bodů z matematiky).</w:t>
      </w:r>
    </w:p>
    <w:p w14:paraId="02101A95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V rámci čtyřletých oborů vzdělání dosáhli nejlepších výsledků uchazeči hlásící se na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čtyřletá gymnázia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, kteří získali průměrný procentní skór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71,8 %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bodů z českého jazyka (v roce 2019 74,9 %) a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63,8 %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bodů z matematiky (v roce 2019 59,7 %).</w:t>
      </w:r>
    </w:p>
    <w:p w14:paraId="3ED8884A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Uchazeči o obory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středních odborných škol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získali u zkoušky z českého jazyka v průměru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55,4 %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bodů (v roce 2019 58,6 %) a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45,2 %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bodů u zkoušky z matematiky (v roce 2019 42,3 %).</w:t>
      </w:r>
    </w:p>
    <w:p w14:paraId="13F167A3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Uchazeči hlásící se do oborů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středních odborných učilišť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získali z českého jazyka v průměru procentní skór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45,0 %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(v roce 2019 48,8 %), z matematiky pak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35,7 %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(v roce 2019 34,4 %). V rámci přijímacích zkoušek na obory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nástavbového studia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uchazeči dosáhli v průměru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36,6 %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bodů z českého jazyka (v roce 2019 37,8 %) a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22,2 %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bodů z matematiky (v roce 2019 19,3 %).</w:t>
      </w:r>
    </w:p>
    <w:p w14:paraId="2F21A026" w14:textId="77777777" w:rsidR="005E0A42" w:rsidRPr="005E0A42" w:rsidRDefault="005E0A42" w:rsidP="005E0A42">
      <w:pPr>
        <w:shd w:val="clear" w:color="auto" w:fill="FAFAFA"/>
        <w:spacing w:before="240" w:after="120" w:line="240" w:lineRule="auto"/>
        <w:outlineLvl w:val="1"/>
        <w:rPr>
          <w:rFonts w:eastAsia="Times New Roman" w:cstheme="minorHAnsi"/>
          <w:color w:val="000000"/>
          <w:sz w:val="38"/>
          <w:szCs w:val="38"/>
          <w:lang w:eastAsia="cs-CZ"/>
        </w:rPr>
      </w:pPr>
      <w:r w:rsidRPr="005E0A42">
        <w:rPr>
          <w:rFonts w:eastAsia="Times New Roman" w:cstheme="minorHAnsi"/>
          <w:color w:val="000000"/>
          <w:sz w:val="38"/>
          <w:szCs w:val="38"/>
          <w:lang w:eastAsia="cs-CZ"/>
        </w:rPr>
        <w:t>Šestiletá gymnázia</w:t>
      </w:r>
    </w:p>
    <w:p w14:paraId="380993AB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lastRenderedPageBreak/>
        <w:t>Do oborů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šestiletých gymnázií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se v letošním roce přihlásilo celkem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5,7 tis. uchazečů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. V obou termínech se ke zkouškám dostavilo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97 %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z nich. U zkoušky z českého jazyka dosáhli průměrného procentního skóru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59,1 %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(v roce 2019 56,8 %) a u zkoušky z matematiky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53,7 %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(v roce 2019 48,4 %).</w:t>
      </w:r>
    </w:p>
    <w:p w14:paraId="6272D3FF" w14:textId="77777777" w:rsidR="005E0A42" w:rsidRPr="005E0A42" w:rsidRDefault="005E0A42" w:rsidP="005E0A42">
      <w:pPr>
        <w:shd w:val="clear" w:color="auto" w:fill="FAFAFA"/>
        <w:spacing w:before="240" w:after="120" w:line="240" w:lineRule="auto"/>
        <w:outlineLvl w:val="1"/>
        <w:rPr>
          <w:rFonts w:eastAsia="Times New Roman" w:cstheme="minorHAnsi"/>
          <w:color w:val="000000"/>
          <w:sz w:val="38"/>
          <w:szCs w:val="38"/>
          <w:lang w:eastAsia="cs-CZ"/>
        </w:rPr>
      </w:pPr>
      <w:r w:rsidRPr="005E0A42">
        <w:rPr>
          <w:rFonts w:eastAsia="Times New Roman" w:cstheme="minorHAnsi"/>
          <w:color w:val="000000"/>
          <w:sz w:val="38"/>
          <w:szCs w:val="38"/>
          <w:lang w:eastAsia="cs-CZ"/>
        </w:rPr>
        <w:t>Osmiletá gymnázia</w:t>
      </w:r>
    </w:p>
    <w:p w14:paraId="6A3BC569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Na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osmiletá gymnázia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se v letošním roce přihlásilo téměř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18 tis. uchazečů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. Jak v prvním, tak v druhém termínu se ke zkoušce dostavilo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97 %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všech přihlášených. U zkoušky z českého jazyka uchazeči dosáhli průměrného procentního skóru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54,0 %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(v roce 2019 52,6 %), u zkoušky z matematiky pak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44,9 %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 (v roce 2019 41,2 %).</w:t>
      </w:r>
    </w:p>
    <w:p w14:paraId="12113CF1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noProof/>
          <w:color w:val="111111"/>
          <w:sz w:val="21"/>
          <w:szCs w:val="21"/>
          <w:lang w:eastAsia="cs-CZ"/>
        </w:rPr>
        <w:drawing>
          <wp:inline distT="0" distB="0" distL="0" distR="0" wp14:anchorId="40090505" wp14:editId="35125AFF">
            <wp:extent cx="5943600" cy="2466975"/>
            <wp:effectExtent l="0" t="0" r="0" b="9525"/>
            <wp:docPr id="2" name="obrázek 2" descr="Vysledky JPZ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ysledky JPZ 2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B9D54" w14:textId="77777777" w:rsidR="005E0A42" w:rsidRPr="005E0A42" w:rsidRDefault="005E0A42" w:rsidP="005E0A42">
      <w:pPr>
        <w:shd w:val="clear" w:color="auto" w:fill="FAFAFA"/>
        <w:spacing w:before="240" w:after="120" w:line="240" w:lineRule="auto"/>
        <w:outlineLvl w:val="1"/>
        <w:rPr>
          <w:rFonts w:eastAsia="Times New Roman" w:cstheme="minorHAnsi"/>
          <w:color w:val="000000"/>
          <w:sz w:val="38"/>
          <w:szCs w:val="38"/>
          <w:lang w:eastAsia="cs-CZ"/>
        </w:rPr>
      </w:pPr>
      <w:r w:rsidRPr="005E0A42">
        <w:rPr>
          <w:rFonts w:eastAsia="Times New Roman" w:cstheme="minorHAnsi"/>
          <w:color w:val="000000"/>
          <w:sz w:val="38"/>
          <w:szCs w:val="38"/>
          <w:lang w:eastAsia="cs-CZ"/>
        </w:rPr>
        <w:t>Výsledky uchazečů dle zákona LEX Ukrajina</w:t>
      </w:r>
    </w:p>
    <w:p w14:paraId="67AF66B2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Výsledky těchto uchazečů je nutné posuzovat s vědomím jejich řádově odlišného počtu v porovnání s celkovým počtem žáků konajících jednotnou přijímací zkoušku. Uchazeči hlásící se do čtyřletých oborů a nástaveb (1 190 konajících uchazečů) dosáhli u zkoušky z matematiky průměrného procentního skóru 36,6 %. Uchazeči o osmiletá gymnázia (celkem 17 konajících uchazečů) získali procentní skór v rozmezí 12–92 %, uchazeči hlásící se na šestiletá gymnázia (4 konající uchazeči) pak dosáhli skóru od 20 do 78 %.</w:t>
      </w:r>
    </w:p>
    <w:p w14:paraId="4F03A9EF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V případě čtyřletých oborů se ke zkoušce dostavilo 93 % přihlášených uchazečů. K jednotné přijímací zkoušce do víceletých gymnázií se s výjimkou jednoho uchazeče dostavili všichni přihlášení.</w:t>
      </w:r>
    </w:p>
    <w:p w14:paraId="5A9B058C" w14:textId="77777777" w:rsidR="005E0A42" w:rsidRPr="005E0A42" w:rsidRDefault="005E0A42" w:rsidP="005E0A42">
      <w:pPr>
        <w:shd w:val="clear" w:color="auto" w:fill="FAFAFA"/>
        <w:spacing w:before="240" w:after="120" w:line="240" w:lineRule="auto"/>
        <w:outlineLvl w:val="1"/>
        <w:rPr>
          <w:rFonts w:eastAsia="Times New Roman" w:cstheme="minorHAnsi"/>
          <w:color w:val="000000"/>
          <w:sz w:val="38"/>
          <w:szCs w:val="38"/>
          <w:lang w:eastAsia="cs-CZ"/>
        </w:rPr>
      </w:pPr>
      <w:r w:rsidRPr="005E0A42">
        <w:rPr>
          <w:rFonts w:eastAsia="Times New Roman" w:cstheme="minorHAnsi"/>
          <w:color w:val="000000"/>
          <w:sz w:val="38"/>
          <w:szCs w:val="38"/>
          <w:lang w:eastAsia="cs-CZ"/>
        </w:rPr>
        <w:t>Náhradní termín</w:t>
      </w:r>
    </w:p>
    <w:p w14:paraId="0830AFE4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Uchazeči, kteří se nemohli dostavit k řádnému termínu přijímací zkoušky a svoji neúčast omluvili do tří dnů řediteli školy, budou moci konat jednotnou přijímací zkoušku v náhradním termínu ve dnech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10. a 11. května 2022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.</w:t>
      </w:r>
    </w:p>
    <w:p w14:paraId="4ED8841C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V prvním náhradním termínu bude moci jednotnou přijímací zkoušku z českého jazyka pro čtyřleté obory vzdělání konat 687 uchazečů, z matematiky pak 741 uchazečů. K druhému náhradnímu termínu z českého jazyka je přihlášeno 519 uchazečů, zatímco zkoušku z matematiky bude moci konat 528 uchazečů.</w:t>
      </w:r>
    </w:p>
    <w:p w14:paraId="63510E8C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Z prvního řádného termínu pro šestileté obory se omluvilo 75 uchazečů, ze druhého termínu pak 77 uchazečů. V případě osmiletých gymnázií bude moci v prvním náhradním termínu konat zkoušku 242 uchazečů, zatímco druhého náhradního termínu se bude moci zúčastnit 197 uchazečů.</w:t>
      </w:r>
    </w:p>
    <w:p w14:paraId="37A7EBAC" w14:textId="77777777" w:rsidR="005E0A42" w:rsidRPr="005E0A42" w:rsidRDefault="005E0A42" w:rsidP="005E0A42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sz w:val="21"/>
          <w:szCs w:val="21"/>
          <w:lang w:eastAsia="cs-CZ"/>
        </w:rPr>
      </w:pP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lastRenderedPageBreak/>
        <w:t>Výsledky z náhradních termínů budou předány školám </w:t>
      </w:r>
      <w:r w:rsidRPr="005E0A42">
        <w:rPr>
          <w:rFonts w:eastAsia="Times New Roman" w:cstheme="minorHAnsi"/>
          <w:b/>
          <w:bCs/>
          <w:color w:val="000000"/>
          <w:sz w:val="21"/>
          <w:szCs w:val="21"/>
          <w:lang w:eastAsia="cs-CZ"/>
        </w:rPr>
        <w:t>18. května 2022</w:t>
      </w:r>
      <w:r w:rsidRPr="005E0A42">
        <w:rPr>
          <w:rFonts w:eastAsia="Times New Roman" w:cstheme="minorHAnsi"/>
          <w:color w:val="111111"/>
          <w:sz w:val="21"/>
          <w:szCs w:val="21"/>
          <w:lang w:eastAsia="cs-CZ"/>
        </w:rPr>
        <w:t>.</w:t>
      </w:r>
    </w:p>
    <w:p w14:paraId="669CD2B6" w14:textId="77777777" w:rsidR="009B415B" w:rsidRPr="005E0A42" w:rsidRDefault="009B415B">
      <w:pPr>
        <w:rPr>
          <w:rFonts w:cstheme="minorHAnsi"/>
        </w:rPr>
      </w:pPr>
    </w:p>
    <w:sectPr w:rsidR="009B415B" w:rsidRPr="005E0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A42"/>
    <w:rsid w:val="005E0A42"/>
    <w:rsid w:val="009B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A1359"/>
  <w15:chartTrackingRefBased/>
  <w15:docId w15:val="{D5242F05-C01E-4D07-BBEC-7A55F635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5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4607</Characters>
  <Application>Microsoft Office Word</Application>
  <DocSecurity>0</DocSecurity>
  <Lines>38</Lines>
  <Paragraphs>10</Paragraphs>
  <ScaleCrop>false</ScaleCrop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2022-05-02T07:12:00Z</dcterms:created>
  <dcterms:modified xsi:type="dcterms:W3CDTF">2022-05-02T07:13:00Z</dcterms:modified>
</cp:coreProperties>
</file>