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4165A" w14:textId="19435A56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 xml:space="preserve">Vyhláška č. 15/2005 Sb., 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kterou se stanoví náležitosti dlouhodobých záměrů</w:t>
      </w:r>
    </w:p>
    <w:p w14:paraId="5D0A37FC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a výročních zpráv</w:t>
      </w:r>
    </w:p>
    <w:p w14:paraId="2E3C2476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</w:p>
    <w:p w14:paraId="6C12AEB6" w14:textId="0D91D98D" w:rsidR="00CE18A5" w:rsidRPr="003820BF" w:rsidRDefault="00CE18A5" w:rsidP="003820BF">
      <w:pPr>
        <w:rPr>
          <w:rFonts w:asciiTheme="minorHAnsi" w:hAnsiTheme="minorHAnsi" w:cstheme="minorHAnsi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Ministerstvo školství, mládeže a tělovýchovy (dále jen "ministerstvo") stanoví podle § 11 a § 12 odst. 2 zákona č. 561/2004 Sb., o předškolním, základním, středním, vyšším odborném a jiném vzdělávání (školský zákon):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br/>
      </w:r>
    </w:p>
    <w:p w14:paraId="23C5791A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ČÁST PRVNÍ</w:t>
      </w:r>
    </w:p>
    <w:p w14:paraId="69C38D05" w14:textId="2F53A0B5" w:rsidR="00CE18A5" w:rsidRPr="003820BF" w:rsidRDefault="00CE18A5" w:rsidP="003820BF">
      <w:pPr>
        <w:rPr>
          <w:rFonts w:asciiTheme="minorHAnsi" w:hAnsiTheme="minorHAnsi" w:cstheme="minorHAnsi"/>
        </w:rPr>
      </w:pPr>
    </w:p>
    <w:p w14:paraId="613C859C" w14:textId="24D7CB9A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DLOUHODOBÝ ZÁMĚR VZDĚLÁVÁNÍ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A ROZVOJE VZDĚLÁVACÍ SOUSTAVY ČESKÉ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REPUBLIKY A DLOUHODOBÝ ZÁMĚR</w:t>
      </w:r>
      <w:r w:rsid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VZDĚLÁVÁNÍ A ROZVOJE VZDĚLÁVACÍ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SOUSTAVY V KRAJI</w:t>
      </w:r>
    </w:p>
    <w:p w14:paraId="69DEA270" w14:textId="2AE910F4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</w:p>
    <w:p w14:paraId="1D0A8AB1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§ 1</w:t>
      </w:r>
    </w:p>
    <w:p w14:paraId="38776046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</w:p>
    <w:p w14:paraId="7F47588E" w14:textId="7F90EE3D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FF"/>
          <w:sz w:val="27"/>
          <w:szCs w:val="27"/>
        </w:rPr>
        <w:t>Rámcová struktura a obsah dlouhodobého záměru vzdělávání</w:t>
      </w:r>
      <w:r w:rsidR="003820BF">
        <w:rPr>
          <w:rFonts w:asciiTheme="minorHAnsi" w:hAnsiTheme="minorHAnsi" w:cstheme="minorHAnsi"/>
          <w:b/>
          <w:bCs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b/>
          <w:bCs/>
          <w:color w:val="0000FF"/>
          <w:sz w:val="27"/>
          <w:szCs w:val="27"/>
        </w:rPr>
        <w:t>a rozvoje vzdělávací soustavy</w:t>
      </w:r>
    </w:p>
    <w:p w14:paraId="2B7BBEB3" w14:textId="68E3D121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Dlouhodobý záměr vzdělávání a rozvoje vzdělávací soustavy (dále jen "dlouhodobý záměr") obsahuje jako samostatné části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  <w:t>a)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vyhodnocení dosaženého stavu navazující na předchozí dlouhodobý záměr z hlediska cílů a opatření uvedených v předchozím dlouhodobém záměru,</w:t>
      </w:r>
    </w:p>
    <w:p w14:paraId="22D610BD" w14:textId="199585D6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b)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strategii rozvoje vzdělávání a vzdělávací soustavy zahrnující určení potřeb plynoucí z cílů a opatření uvedených ve strategických dokumentech z oblasti vzdělávání schválených vládou, z vyhodnocení podle písmene a), z analýzy vzdělávací soustavy a z analýzy potřeb škol a školských zařízení a způsob realizace cílů, na které bude kladen důraz v následujícím období, v podobě konkrétních opatření vedoucích ke zlepšení stavu v oblasti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lastRenderedPageBreak/>
        <w:t>1.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cílů, obsahu a vzdělávacích strategií počátečního vzdělávání,</w:t>
      </w:r>
    </w:p>
    <w:p w14:paraId="682F3B4D" w14:textId="5729D19D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2.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podpory profesního rozvoje pedagogických a nepedagogických pracovníků, včetně osvojování kompetencí k vedení škol a školských zařízení,</w:t>
      </w:r>
    </w:p>
    <w:p w14:paraId="45918260" w14:textId="1E28C0A2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3.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rovného přístupu ke vzdělávání dětí, žáků a studentů, včetně těch se speciálními vzdělávacími potřebami, nadaných, mimořádně nadaných a s nárokem na poskytování jazykové přípravy,</w:t>
      </w:r>
    </w:p>
    <w:p w14:paraId="0B560353" w14:textId="79A4EBB3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4.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ústavní a ochranné výchovy a preventivně výchovné péče,</w:t>
      </w:r>
    </w:p>
    <w:p w14:paraId="54546BD9" w14:textId="7A9B9606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5.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základního uměleckého a jazykového vzdělávání,</w:t>
      </w:r>
    </w:p>
    <w:p w14:paraId="13B1CE9C" w14:textId="0883D430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6.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vzdělávacích aktivit zaměřených na mládež, včetně zájmového vzdělávání, a propojování vzdělávání mládeže v rámci vzdělávací soustavy se vzděláváním mládeže mimo rámec vzdělávací soustavy a</w:t>
      </w:r>
    </w:p>
    <w:p w14:paraId="40C23ADF" w14:textId="1255E10E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7.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podpory vzájemné spolupráce, komunikace a koordinace aktérů ve vzdělávání a sdílení odbornosti na všech úrovních vzdělávací soustavy,</w:t>
      </w:r>
    </w:p>
    <w:p w14:paraId="5D6E2EF8" w14:textId="509F651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c)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kritéria rozvoje a optimalizace vzdělávací soustavy a struktury budoucí vzdělávací nabídky škol a školských zařízení se zaměřením na strukturu skupin oborů vzdělání, druhů, popřípadě typů škol a školských zařízení a jejich kapacitu na základě předpokládaného demografického vývoje a záměrů dalšího rozvoje a</w:t>
      </w:r>
    </w:p>
    <w:p w14:paraId="6EE6D040" w14:textId="33F336D3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d)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přehled konkrétních opatření spolu s informacemi o zdrojích jejich financování, jimiž jsou zejména státní rozpočet nebo jiné veřejné rozpočty a fondy Evropské unie.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</w:r>
    </w:p>
    <w:p w14:paraId="27D02668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§ 2</w:t>
      </w:r>
    </w:p>
    <w:p w14:paraId="775E20B2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</w:p>
    <w:p w14:paraId="7119405A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FF"/>
          <w:sz w:val="27"/>
          <w:szCs w:val="27"/>
        </w:rPr>
        <w:t>Dlouhodobý záměr České republiky</w:t>
      </w:r>
    </w:p>
    <w:p w14:paraId="6BEDBA04" w14:textId="205B0749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(1) Dlouhodobý záměr České republiky dále obsahuje jako samostatné části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  <w:t>a)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analýzu vzdělávací soustavy na republikové úrovni vycházející z předpokládaného demografického vývoje, vývoje na trhu práce a záměrů dalšího rozvoje, zejména cílů a úkolů v jednotlivých oblastech vzdělávání a struktury nabídky a</w:t>
      </w:r>
    </w:p>
    <w:p w14:paraId="79FC3B64" w14:textId="4D05B71F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b)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analýzu potřeb škol a školských zařízení na republikové úrovni.</w:t>
      </w:r>
    </w:p>
    <w:p w14:paraId="5C7F7771" w14:textId="4852A7D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(2) Dlouhodobý záměr České republiky vychází dále zejména z dokumentů vztahujících se ke státnímu rozpočtu, k zaměstnanosti, rozvoji lidských zdrojů, sociálně ekonomickému, regionálnímu a udržitelnému rozvoji a z výročních zpráv České školní inspekce.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  <w:t>(3) Dlouhodobý záměr České republiky se na dobu 30 dnů ode dne předložení krajům k vyjádření zveřejní k veřejné konzultaci na internetových stránkách ministerstva.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</w:r>
    </w:p>
    <w:p w14:paraId="21161DAB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§ 2a</w:t>
      </w:r>
    </w:p>
    <w:p w14:paraId="687CE702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</w:p>
    <w:p w14:paraId="1AB73948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FF"/>
          <w:sz w:val="27"/>
          <w:szCs w:val="27"/>
        </w:rPr>
        <w:t>Dlouhodobý záměr v kraji</w:t>
      </w:r>
    </w:p>
    <w:p w14:paraId="7BFAE6E6" w14:textId="65C2F096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(1) Dlouhodobý záměr v kraji dále obsahuje jako samostatné části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  <w:t>a)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analýzu vzdělávací soustavy v kraji vycházející z předpokládaného demografického vývoje, vývoje na trhu práce a záměrů dalšího rozvoje kraje, zejména cílů a úkolů v jednotlivých oblastech vzdělávání, struktury vzdělávací nabídky, především struktury oborů vzdělání, druhů, popřípadě typů škol a školských zařízení a jejich kapacity a návrhů na financování vzdělávání a školských služeb v kraji,</w:t>
      </w:r>
    </w:p>
    <w:p w14:paraId="3274B0F4" w14:textId="17D0751B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b)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analýzu potřeb škol a školských zařízení v kraji a</w:t>
      </w:r>
    </w:p>
    <w:p w14:paraId="65D88CCB" w14:textId="4F85E55A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c)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část týkající se vzdělávání ve školách a školských zařízeních, které zřizuje kraj.</w:t>
      </w:r>
    </w:p>
    <w:p w14:paraId="6EAED6FB" w14:textId="4A8346FC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(2) Dlouhodobý záměr v kraji vychází dále zejména z dlouhodobého záměru České republiky, regionálních specifik rozvoje ekonomiky, trhu práce a společnosti, která ovlivňují rozvoj vzdělávání a stav a vývoj vzdělávací soustavy kraje, a z dokumentů vztahujících se k rozpočtu kraje.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  <w:t>(3) Dlouhodobý záměr v kraji se před předložením ministerstvu k vyjádření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  <w:t>a)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zveřejní na internetových stránkách kraje po dobu 30 dnů k veřejné konzultaci a</w:t>
      </w:r>
    </w:p>
    <w:p w14:paraId="227014FA" w14:textId="273BD33D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b)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upraví s přihlédnutím k výsledkům veřejné konzultace podle písmene a).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</w:r>
    </w:p>
    <w:p w14:paraId="40E17A0F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§ 3</w:t>
      </w:r>
    </w:p>
    <w:p w14:paraId="251476FB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</w:p>
    <w:p w14:paraId="1D253362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FF"/>
          <w:sz w:val="27"/>
          <w:szCs w:val="27"/>
        </w:rPr>
        <w:t>Termíny předložení a zveřejnění dlouhodobých záměrů</w:t>
      </w:r>
    </w:p>
    <w:p w14:paraId="256DE9AD" w14:textId="3CCE737A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(1) Ministerstvo každý čtvrtý kalendářní rok po předložení platného dlouhodobého záměru České republiky ke schválení vládě tento záměr vyhodnotí a vyhodnocený, upravený nebo doplněný podle aktuální situace jej do 15. května předloží krajům k vyjádření. Kraje zašlou ministerstvu svá vyjádření do 30. června. Ministerstvo s přihlédnutím k vyjádřením krajů a k výsledkům veřejné konzultace podle § 2 odst. 3 dlouhodobý záměr České republiky dopracuje a do 31. října předloží vládě ke schválení; zveřejní jej na internetových stránkách ministerstva do 30 dnů od jeho schválení vládou.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  <w:t>(2) Krajský úřad do 90 dnů po schválení dlouhodobého záměru České republiky vládou předloží dlouhodobý záměr v kraji ministerstvu k vyjádření. Ministerstvo zašle krajskému úřadu své vyjádření do 30 dnů ode dne předložení dlouhodobého záměru v kraji.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  <w:t>(3) Krajský úřad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  <w:t>a)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s přihlédnutím k vyjádření ministerstva podle odstavce 2 dlouhodobý záměr v kraji dopracuje a zašle ministerstvu jeho konečnou verzi včetně přehledu vypořádání připomínek obsažených ve vyjádření ministerstva,</w:t>
      </w:r>
    </w:p>
    <w:p w14:paraId="18179A71" w14:textId="0C4AC61A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b)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do 30. června předloží zastupitelstvu kraje ke schválení část dlouhodobého záměru v kraji týkající se vzdělávání ve školách a školských zařízeních, které zřizuje kraj, a</w:t>
      </w:r>
    </w:p>
    <w:p w14:paraId="190B06A1" w14:textId="7C90D30F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c)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do 30 dnů po schválení části podle písmene b) dlouhodobý záměr v kraji zveřejní na internetových stránkách kraje a zašle ministerstvu.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</w:r>
    </w:p>
    <w:p w14:paraId="570A1957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ČÁST DRUHÁ</w:t>
      </w:r>
    </w:p>
    <w:p w14:paraId="397B0A0E" w14:textId="5AFDCF6C" w:rsidR="00CE18A5" w:rsidRPr="003820BF" w:rsidRDefault="00CE18A5" w:rsidP="003820BF">
      <w:pPr>
        <w:rPr>
          <w:rFonts w:asciiTheme="minorHAnsi" w:hAnsiTheme="minorHAnsi" w:cstheme="minorHAnsi"/>
        </w:rPr>
      </w:pPr>
    </w:p>
    <w:p w14:paraId="127EFCB1" w14:textId="0ACF96C3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VÝROČNÍ ZPRÁVA O STAVU A ROZVOJI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VZDĚLÁVACÍ SOUSTAVY V KRAJI</w:t>
      </w:r>
    </w:p>
    <w:p w14:paraId="2CB0C57A" w14:textId="58D77FE5" w:rsidR="00CE18A5" w:rsidRPr="003820BF" w:rsidRDefault="00CE18A5" w:rsidP="003820BF">
      <w:pPr>
        <w:rPr>
          <w:rFonts w:asciiTheme="minorHAnsi" w:hAnsiTheme="minorHAnsi" w:cstheme="minorHAnsi"/>
        </w:rPr>
      </w:pPr>
    </w:p>
    <w:p w14:paraId="1494B57C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§ 4</w:t>
      </w:r>
    </w:p>
    <w:p w14:paraId="2803198F" w14:textId="5E5251DA" w:rsidR="00CE18A5" w:rsidRPr="003820BF" w:rsidRDefault="00CE18A5" w:rsidP="003820BF">
      <w:pPr>
        <w:rPr>
          <w:rFonts w:asciiTheme="minorHAnsi" w:hAnsiTheme="minorHAnsi" w:cstheme="minorHAnsi"/>
        </w:rPr>
      </w:pPr>
    </w:p>
    <w:p w14:paraId="661579AF" w14:textId="000ED195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Rámcová struktura a obsah výroční zprávy o stavu a rozvoji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vzdělávací soustavy v kraji</w:t>
      </w:r>
    </w:p>
    <w:p w14:paraId="27BA1C0A" w14:textId="7D2F640B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Výroční zpráva o stavu a rozvoji vzdělávací soustavy v kraji (dále jen "výroční zpráva v kraji") se skládá z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br/>
        <w:t>a)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hodnocení vzdělávací soustavy 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v kraji 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bez ohledu na zřizovatele škol 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a</w:t>
      </w:r>
    </w:p>
    <w:p w14:paraId="0A3ADCF2" w14:textId="0125307B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b)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hodnocení naplňování 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konkrétních opatření 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dlouhodobého záměru v kraji v uplynulém období 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podle § 1 písm. d).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br/>
      </w:r>
    </w:p>
    <w:p w14:paraId="0F3AEA70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§ 5</w:t>
      </w:r>
    </w:p>
    <w:p w14:paraId="756B3F9C" w14:textId="48935CC6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(1) Výroční zpráva v kraji zachycuje současný stav a vyhodnocení změn v porovnání se stavem popsaným v předcházející výroční zprávě, zejména v oblasti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  <w:t>a)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předškolního vzdělávání,</w:t>
      </w:r>
    </w:p>
    <w:p w14:paraId="3D6279DD" w14:textId="3519574F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b)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základního vzdělávání a povinné školní docházky,</w:t>
      </w:r>
    </w:p>
    <w:p w14:paraId="79F89945" w14:textId="680430B9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c)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středního vzdělávání,</w:t>
      </w:r>
    </w:p>
    <w:p w14:paraId="5A84A8B6" w14:textId="13F29708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d)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vyššího odborného vzdělávání,</w:t>
      </w:r>
    </w:p>
    <w:p w14:paraId="482CCC90" w14:textId="6BA159E0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e)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podpory dětí, žáků a studentů se speciálními vzdělávacími potřebami, nadaných, mimořádně nadaných a s nárokem na poskytování jazykové přípravy,</w:t>
      </w:r>
    </w:p>
    <w:p w14:paraId="0526A68B" w14:textId="6826397B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f)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základního uměleckého a jazykového vzdělávání,</w:t>
      </w:r>
    </w:p>
    <w:p w14:paraId="5BEF1E8B" w14:textId="23424171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g)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vzdělávacích aktivit zaměřených na mládež, včetně zájmového vzdělávání, a propojování vzdělávání mládeže v rámci vzdělávací soustavy se vzděláváním mládeže mimo rámec vzdělávací soustavy,</w:t>
      </w:r>
    </w:p>
    <w:p w14:paraId="146F867B" w14:textId="77DB1732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h)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poradenských služeb,</w:t>
      </w:r>
    </w:p>
    <w:p w14:paraId="7076805B" w14:textId="0082DA00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i)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školských zařízení a</w:t>
      </w:r>
    </w:p>
    <w:p w14:paraId="30895E36" w14:textId="784DF2E1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j)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dalšího vzdělávání pedagogických pracovníků a odborného rozvoje nepedagogických pracovníků ve školství.</w:t>
      </w:r>
    </w:p>
    <w:p w14:paraId="20F000C1" w14:textId="7F2994EE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(2)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Závěry výroční zprávy v kraji shrnují poznatky z jednotlivých kapitol a jsou formulovány tak, aby mohly být podkladem pro 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naplňování a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 zpracování dlouhodobých záměrů v kraji.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br/>
      </w:r>
    </w:p>
    <w:p w14:paraId="3259BC5D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§ 6</w:t>
      </w:r>
    </w:p>
    <w:p w14:paraId="379C03DE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</w:p>
    <w:p w14:paraId="774D2B72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FF"/>
          <w:sz w:val="27"/>
          <w:szCs w:val="27"/>
        </w:rPr>
        <w:t>Termíny předložení a zveřejnění výroční zprávy v kraji</w:t>
      </w:r>
    </w:p>
    <w:p w14:paraId="66889F69" w14:textId="1B28A8C9" w:rsidR="00CE18A5" w:rsidRPr="003820BF" w:rsidRDefault="00CE18A5" w:rsidP="003820BF">
      <w:pPr>
        <w:rPr>
          <w:rFonts w:asciiTheme="minorHAnsi" w:hAnsiTheme="minorHAnsi" w:cstheme="minorHAnsi"/>
          <w:color w:val="0000FF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Krajský úřad výroční zprávu v kraji zveřejní na internetových stránkách kraje a zašle ministerstvu do 31. března.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</w:r>
    </w:p>
    <w:p w14:paraId="225867AC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ČÁST TŘETÍ</w:t>
      </w:r>
    </w:p>
    <w:p w14:paraId="348DF3DF" w14:textId="01DFEBBC" w:rsidR="00CE18A5" w:rsidRPr="003820BF" w:rsidRDefault="00CE18A5" w:rsidP="003820BF">
      <w:pPr>
        <w:rPr>
          <w:rFonts w:asciiTheme="minorHAnsi" w:hAnsiTheme="minorHAnsi" w:cstheme="minorHAnsi"/>
        </w:rPr>
      </w:pPr>
    </w:p>
    <w:p w14:paraId="44D1894E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VÝROČNÍ ZPRÁVA O ČINNOSTI ŠKOLY</w:t>
      </w:r>
    </w:p>
    <w:p w14:paraId="358D4044" w14:textId="06632E11" w:rsidR="00CE18A5" w:rsidRPr="003820BF" w:rsidRDefault="00CE18A5" w:rsidP="003820BF">
      <w:pPr>
        <w:rPr>
          <w:rFonts w:asciiTheme="minorHAnsi" w:hAnsiTheme="minorHAnsi" w:cstheme="minorHAnsi"/>
        </w:rPr>
      </w:pPr>
    </w:p>
    <w:p w14:paraId="06E73CC2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§ 7</w:t>
      </w:r>
    </w:p>
    <w:p w14:paraId="70129FF6" w14:textId="25EB0072" w:rsidR="00CE18A5" w:rsidRPr="003820BF" w:rsidRDefault="00CE18A5" w:rsidP="003820BF">
      <w:pPr>
        <w:rPr>
          <w:rFonts w:asciiTheme="minorHAnsi" w:hAnsiTheme="minorHAnsi" w:cstheme="minorHAnsi"/>
        </w:rPr>
      </w:pPr>
    </w:p>
    <w:p w14:paraId="158F9722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Obsah a zpracování výroční zprávy o činnosti školy</w:t>
      </w:r>
    </w:p>
    <w:p w14:paraId="767A5ECA" w14:textId="02DE629B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(1) Výroční zpráva o činnosti školy obsahuje vždy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br/>
        <w:t>a)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základní údaje o škole, jimiž jsou název, sídlo, charakteristika školy, zřizovatel školy, údaje o vedení školy, adresa pro dálkový přístup, údaje o školské radě,</w:t>
      </w:r>
    </w:p>
    <w:p w14:paraId="66C6BD79" w14:textId="5BB0E0CB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b)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přehled oborů vzdělání, které škola vyučuje v souladu se zápisem ve školském rejstříku,</w:t>
      </w:r>
    </w:p>
    <w:p w14:paraId="022FDF03" w14:textId="1AC08D00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c)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rámcový popis personálního zabezpečení činnosti školy,</w:t>
      </w:r>
    </w:p>
    <w:p w14:paraId="51CF3C79" w14:textId="30CED0E0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d)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údaje o přijímacím řízení nebo o zápisu k povinné školní docházce a následném přijetí do školy,</w:t>
      </w:r>
    </w:p>
    <w:p w14:paraId="0CB0A0D3" w14:textId="11AE142E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e)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stručné vyhodnocení naplňování cílů školního vzdělávacího programu,</w:t>
      </w:r>
    </w:p>
    <w:p w14:paraId="4C785E66" w14:textId="2DDA7C1A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f)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údaje o výsledcích vzdělávání žáků podle cílů stanovených vzdělávacími programy a podle poskytovaného stupně vzdělání včetně výsledků závěrečných zkoušek, maturitních zkoušek a absolutorií,</w:t>
      </w:r>
    </w:p>
    <w:p w14:paraId="2D27362C" w14:textId="3A011658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lastRenderedPageBreak/>
        <w:t>g)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údaje o prevenci sociálně patologických jevů, 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rizikového chování a zajištění podpory dětí, žáků a studentů se speciálními vzdělávacími potřebami, nadaných, mimořádně nadaných a s nárokem na poskytování jazykové přípravy,</w:t>
      </w:r>
    </w:p>
    <w:p w14:paraId="0384B085" w14:textId="13DB78B1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h)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údaje o dalším vzdělávání pedagogických pracovníků 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a odborného rozvoje nepedagogických pracovníků,</w:t>
      </w:r>
    </w:p>
    <w:p w14:paraId="56B96E0A" w14:textId="73DD5909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i)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údaje o aktivitách a prezentaci školy na veřejnosti,</w:t>
      </w:r>
    </w:p>
    <w:p w14:paraId="2052E6E4" w14:textId="5BB4C226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j)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údaje o výsledcích inspekční činnosti provedené Českou školní inspekcí 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t>a</w:t>
      </w:r>
    </w:p>
    <w:p w14:paraId="2022B08F" w14:textId="63BE7BB5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k)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 xml:space="preserve"> 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t>základní údaje o hospodaření školy.</w:t>
      </w:r>
    </w:p>
    <w:p w14:paraId="6DDC30BE" w14:textId="1EFD30FD" w:rsidR="00CE18A5" w:rsidRPr="003820BF" w:rsidRDefault="00CE18A5" w:rsidP="003820BF">
      <w:pPr>
        <w:rPr>
          <w:rFonts w:asciiTheme="minorHAnsi" w:hAnsiTheme="minorHAnsi" w:cstheme="minorHAnsi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(2) Výroční zpráva o činnosti školy se zpracovává za období předcházejícího školního roku, s výjimkou základních údajů o hospodaření školy, a do 15. října se předkládá školské radě ke schválení. Po schválení školskou radou zasílá ředitel školy výroční zprávu do 14 dnů zřizovateli a zveřejní ji na přístupném místě ve škole.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br/>
      </w:r>
    </w:p>
    <w:p w14:paraId="3346DE36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§ 8 a 9</w:t>
      </w:r>
    </w:p>
    <w:p w14:paraId="40C79AC1" w14:textId="724D2F1A" w:rsidR="00CE18A5" w:rsidRPr="003820BF" w:rsidRDefault="00CE18A5" w:rsidP="003820BF">
      <w:pPr>
        <w:rPr>
          <w:rFonts w:asciiTheme="minorHAnsi" w:hAnsiTheme="minorHAnsi" w:cstheme="minorHAnsi"/>
        </w:rPr>
      </w:pPr>
    </w:p>
    <w:p w14:paraId="4488AF7C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zrušeny vyhláškou č. 195/2012 Sb.</w:t>
      </w:r>
    </w:p>
    <w:p w14:paraId="4AC10BED" w14:textId="3AD94967" w:rsidR="00CE18A5" w:rsidRPr="003820BF" w:rsidRDefault="00CE18A5" w:rsidP="003820BF">
      <w:pPr>
        <w:rPr>
          <w:rFonts w:asciiTheme="minorHAnsi" w:hAnsiTheme="minorHAnsi" w:cstheme="minorHAnsi"/>
        </w:rPr>
      </w:pPr>
    </w:p>
    <w:p w14:paraId="6AF361CE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§ 10</w:t>
      </w:r>
    </w:p>
    <w:p w14:paraId="15FC0C75" w14:textId="3CE1D1C7" w:rsidR="00CE18A5" w:rsidRPr="003820BF" w:rsidRDefault="00CE18A5" w:rsidP="003820BF">
      <w:pPr>
        <w:rPr>
          <w:rFonts w:asciiTheme="minorHAnsi" w:hAnsiTheme="minorHAnsi" w:cstheme="minorHAnsi"/>
        </w:rPr>
      </w:pPr>
    </w:p>
    <w:p w14:paraId="01769849" w14:textId="77777777" w:rsidR="00CE18A5" w:rsidRPr="003820BF" w:rsidRDefault="00CE18A5" w:rsidP="003820BF">
      <w:pPr>
        <w:rPr>
          <w:rFonts w:asciiTheme="minorHAnsi" w:hAnsiTheme="minorHAnsi" w:cstheme="minorHAnsi"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Účinnost</w:t>
      </w:r>
    </w:p>
    <w:p w14:paraId="6E8F1406" w14:textId="77777777" w:rsidR="00CE18A5" w:rsidRPr="003820BF" w:rsidRDefault="00CE18A5" w:rsidP="003820BF">
      <w:pPr>
        <w:rPr>
          <w:rFonts w:asciiTheme="minorHAnsi" w:hAnsiTheme="minorHAnsi" w:cstheme="minorHAnsi"/>
          <w:b/>
          <w:bCs/>
          <w:color w:val="000000"/>
          <w:sz w:val="27"/>
          <w:szCs w:val="27"/>
        </w:rPr>
      </w:pPr>
      <w:r w:rsidRPr="003820BF">
        <w:rPr>
          <w:rFonts w:asciiTheme="minorHAnsi" w:hAnsiTheme="minorHAnsi" w:cstheme="minorHAnsi"/>
          <w:color w:val="000000"/>
          <w:sz w:val="27"/>
          <w:szCs w:val="27"/>
        </w:rPr>
        <w:t>Tato vyhláška nabývá účinnosti dnem jejího vyhlášení.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br/>
      </w:r>
    </w:p>
    <w:p w14:paraId="3DBCC957" w14:textId="02001615" w:rsidR="00CE18A5" w:rsidRPr="003820BF" w:rsidRDefault="00CE18A5" w:rsidP="003820BF">
      <w:pPr>
        <w:rPr>
          <w:rFonts w:asciiTheme="minorHAnsi" w:hAnsiTheme="minorHAnsi" w:cstheme="minorHAnsi"/>
        </w:rPr>
      </w:pPr>
      <w:r w:rsidRPr="003820BF">
        <w:rPr>
          <w:rFonts w:asciiTheme="minorHAnsi" w:hAnsiTheme="minorHAnsi" w:cstheme="minorHAnsi"/>
          <w:b/>
          <w:bCs/>
          <w:color w:val="000000"/>
          <w:sz w:val="27"/>
          <w:szCs w:val="27"/>
        </w:rPr>
        <w:t>Čl. II vyhlášky č. 150/2022 Sb.</w:t>
      </w:r>
      <w:r w:rsidRPr="003820BF">
        <w:rPr>
          <w:rFonts w:asciiTheme="minorHAnsi" w:hAnsiTheme="minorHAnsi" w:cstheme="minorHAnsi"/>
          <w:color w:val="000000"/>
          <w:sz w:val="27"/>
          <w:szCs w:val="27"/>
        </w:rPr>
        <w:br/>
      </w:r>
    </w:p>
    <w:p w14:paraId="0E84D784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Čl. II</w:t>
      </w:r>
    </w:p>
    <w:p w14:paraId="194C97C8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</w:p>
    <w:p w14:paraId="2A67894E" w14:textId="77777777" w:rsidR="00CE18A5" w:rsidRPr="003820BF" w:rsidRDefault="00CE18A5" w:rsidP="003820BF">
      <w:pPr>
        <w:rPr>
          <w:rFonts w:asciiTheme="minorHAnsi" w:hAnsiTheme="minorHAnsi" w:cstheme="minorHAnsi"/>
          <w:color w:val="0000FF"/>
          <w:sz w:val="27"/>
          <w:szCs w:val="27"/>
        </w:rPr>
      </w:pPr>
      <w:r w:rsidRPr="003820BF">
        <w:rPr>
          <w:rFonts w:asciiTheme="minorHAnsi" w:hAnsiTheme="minorHAnsi" w:cstheme="minorHAnsi"/>
          <w:b/>
          <w:bCs/>
          <w:color w:val="0000FF"/>
          <w:sz w:val="27"/>
          <w:szCs w:val="27"/>
        </w:rPr>
        <w:t>Přechodné ustanovení</w:t>
      </w:r>
    </w:p>
    <w:p w14:paraId="03922ABE" w14:textId="7157DD4E" w:rsidR="00FE2C15" w:rsidRPr="003820BF" w:rsidRDefault="00CE18A5" w:rsidP="003820BF">
      <w:pPr>
        <w:rPr>
          <w:rFonts w:asciiTheme="minorHAnsi" w:hAnsiTheme="minorHAnsi" w:cstheme="minorHAnsi"/>
          <w:color w:val="0000FF"/>
        </w:rPr>
      </w:pPr>
      <w:r w:rsidRPr="003820BF">
        <w:rPr>
          <w:rFonts w:asciiTheme="minorHAnsi" w:hAnsiTheme="minorHAnsi" w:cstheme="minorHAnsi"/>
          <w:color w:val="0000FF"/>
          <w:sz w:val="27"/>
          <w:szCs w:val="27"/>
        </w:rPr>
        <w:t>Dlouhodobý záměr podle vyhlášky č. 15/2005 Sb., ve znění účinném ode dne nabytí účinnosti této vyhlášky, předloží Ministerstvo školství, mládeže a tělovýchovy vládě poprvé v roce 2023 a krajské úřady Ministerstvu školství, mládeže a tělovýchovy poprvé v roce 2024.</w:t>
      </w:r>
      <w:r w:rsidRPr="003820BF">
        <w:rPr>
          <w:rFonts w:asciiTheme="minorHAnsi" w:hAnsiTheme="minorHAnsi" w:cstheme="minorHAnsi"/>
          <w:color w:val="0000FF"/>
          <w:sz w:val="27"/>
          <w:szCs w:val="27"/>
        </w:rPr>
        <w:br/>
      </w:r>
    </w:p>
    <w:sectPr w:rsidR="00FE2C15" w:rsidRPr="003820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8A5"/>
    <w:rsid w:val="003820BF"/>
    <w:rsid w:val="00CE18A5"/>
    <w:rsid w:val="00FE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C898"/>
  <w15:chartTrackingRefBased/>
  <w15:docId w15:val="{F71972CF-3C7D-4060-A2A7-BBB5AB312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E1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4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1407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2022-06-20T14:18:00Z</dcterms:created>
  <dcterms:modified xsi:type="dcterms:W3CDTF">2022-06-20T14:28:00Z</dcterms:modified>
</cp:coreProperties>
</file>