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333C4" w14:textId="77777777" w:rsidR="00455E07" w:rsidRPr="00455E07" w:rsidRDefault="00455E07" w:rsidP="00455E07">
      <w:pPr>
        <w:pStyle w:val="Bezmezer"/>
        <w:rPr>
          <w:b/>
          <w:bCs/>
          <w:color w:val="002060"/>
          <w:sz w:val="28"/>
          <w:szCs w:val="28"/>
        </w:rPr>
      </w:pPr>
      <w:r w:rsidRPr="00455E07">
        <w:rPr>
          <w:b/>
          <w:bCs/>
          <w:color w:val="002060"/>
          <w:sz w:val="28"/>
          <w:szCs w:val="28"/>
        </w:rPr>
        <w:t>Prokazování totožnosti elektronickým občanským průkazem</w:t>
      </w:r>
    </w:p>
    <w:p w14:paraId="58BFB4F3" w14:textId="77777777" w:rsidR="00455E07" w:rsidRDefault="00455E07" w:rsidP="00455E07">
      <w:pPr>
        <w:pStyle w:val="Bezmezer"/>
      </w:pPr>
    </w:p>
    <w:p w14:paraId="7B45DFA9" w14:textId="4D8DBCB9" w:rsidR="00455E07" w:rsidRDefault="00455E07" w:rsidP="00455E07">
      <w:pPr>
        <w:pStyle w:val="Bezmezer"/>
      </w:pPr>
      <w:r>
        <w:t xml:space="preserve">Školy mají od 1. ledna 2025 povinnost v případě ověřování totožnosti uznat tzv. </w:t>
      </w:r>
      <w:proofErr w:type="spellStart"/>
      <w:r>
        <w:t>eDoklady</w:t>
      </w:r>
      <w:proofErr w:type="spellEnd"/>
      <w:r>
        <w:t>. Povinnost ukládá zákon č. 12/2020 Sb., o právu na digitální služby a o změně některých zákonů, v</w:t>
      </w:r>
      <w:r>
        <w:t xml:space="preserve"> </w:t>
      </w:r>
      <w:r>
        <w:t>platném znění.</w:t>
      </w:r>
    </w:p>
    <w:p w14:paraId="42A24118" w14:textId="77777777" w:rsidR="00455E07" w:rsidRDefault="00455E07" w:rsidP="00455E07">
      <w:pPr>
        <w:pStyle w:val="Bezmezer"/>
      </w:pPr>
    </w:p>
    <w:p w14:paraId="65A8025E" w14:textId="77777777" w:rsidR="00455E07" w:rsidRPr="00455E07" w:rsidRDefault="00455E07" w:rsidP="00455E07">
      <w:pPr>
        <w:pStyle w:val="Bezmezer"/>
        <w:rPr>
          <w:u w:val="single"/>
        </w:rPr>
      </w:pPr>
      <w:r w:rsidRPr="00455E07">
        <w:rPr>
          <w:u w:val="single"/>
        </w:rPr>
        <w:t xml:space="preserve">Řešitel problematiky </w:t>
      </w:r>
      <w:proofErr w:type="spellStart"/>
      <w:r w:rsidRPr="00455E07">
        <w:rPr>
          <w:u w:val="single"/>
        </w:rPr>
        <w:t>eDokladů</w:t>
      </w:r>
      <w:proofErr w:type="spellEnd"/>
    </w:p>
    <w:p w14:paraId="796FC961" w14:textId="518DD501" w:rsidR="00455E07" w:rsidRDefault="00455E07" w:rsidP="00455E07">
      <w:pPr>
        <w:pStyle w:val="Bezmezer"/>
      </w:pPr>
      <w:r>
        <w:t xml:space="preserve">Podrobné informace k ověřování totožnosti skrze </w:t>
      </w:r>
      <w:proofErr w:type="spellStart"/>
      <w:r>
        <w:t>eDoklady</w:t>
      </w:r>
      <w:proofErr w:type="spellEnd"/>
      <w:r>
        <w:t xml:space="preserve"> poskytuje Digitální a informační agentura, český ústřední správní úřad pro elektronickou identifikaci, služby vytvářející důvěru a pro informační systémy veřejné správy. </w:t>
      </w:r>
    </w:p>
    <w:p w14:paraId="508D8A65" w14:textId="77777777" w:rsidR="00455E07" w:rsidRDefault="00455E07" w:rsidP="00455E07">
      <w:pPr>
        <w:pStyle w:val="Bezmezer"/>
      </w:pPr>
    </w:p>
    <w:p w14:paraId="61031DC8" w14:textId="77777777" w:rsidR="00455E07" w:rsidRPr="00455E07" w:rsidRDefault="00455E07" w:rsidP="00455E07">
      <w:pPr>
        <w:pStyle w:val="Bezmezer"/>
        <w:rPr>
          <w:u w:val="single"/>
        </w:rPr>
      </w:pPr>
      <w:r w:rsidRPr="00455E07">
        <w:rPr>
          <w:u w:val="single"/>
        </w:rPr>
        <w:t xml:space="preserve">Kdy škola ověřování </w:t>
      </w:r>
      <w:proofErr w:type="spellStart"/>
      <w:r w:rsidRPr="00455E07">
        <w:rPr>
          <w:u w:val="single"/>
        </w:rPr>
        <w:t>eDokladů</w:t>
      </w:r>
      <w:proofErr w:type="spellEnd"/>
      <w:r w:rsidRPr="00455E07">
        <w:rPr>
          <w:u w:val="single"/>
        </w:rPr>
        <w:t xml:space="preserve"> využije</w:t>
      </w:r>
    </w:p>
    <w:p w14:paraId="4F9A5A5F" w14:textId="77777777" w:rsidR="00455E07" w:rsidRDefault="00455E07" w:rsidP="00455E07">
      <w:pPr>
        <w:pStyle w:val="Bezmezer"/>
      </w:pPr>
      <w:r>
        <w:t xml:space="preserve">Škola využije ověřování totožnosti skrze aplikaci </w:t>
      </w:r>
      <w:proofErr w:type="spellStart"/>
      <w:r>
        <w:t>eDoklady</w:t>
      </w:r>
      <w:proofErr w:type="spellEnd"/>
      <w:r>
        <w:t xml:space="preserve"> v případě ověřování totožnosti zákonných zástupců dítěte nebo žáka a v případě ověřování totožnosti zletilých žáků či studentů.</w:t>
      </w:r>
    </w:p>
    <w:p w14:paraId="6F89CABF" w14:textId="77777777" w:rsidR="00455E07" w:rsidRPr="00455E07" w:rsidRDefault="00455E07" w:rsidP="00455E07">
      <w:pPr>
        <w:pStyle w:val="Bezmezer"/>
        <w:rPr>
          <w:b/>
          <w:bCs/>
        </w:rPr>
      </w:pPr>
      <w:proofErr w:type="spellStart"/>
      <w:r w:rsidRPr="00455E07">
        <w:rPr>
          <w:b/>
          <w:bCs/>
        </w:rPr>
        <w:t>eDoklady</w:t>
      </w:r>
      <w:proofErr w:type="spellEnd"/>
      <w:r w:rsidRPr="00455E07">
        <w:rPr>
          <w:b/>
          <w:bCs/>
        </w:rPr>
        <w:t xml:space="preserve"> nenahrazují fyzický průkaz, ale představují alternativu s využitím jeho digitálního stejnopisu.</w:t>
      </w:r>
    </w:p>
    <w:p w14:paraId="1433F23B" w14:textId="77777777" w:rsidR="00455E07" w:rsidRDefault="00455E07" w:rsidP="00455E07">
      <w:pPr>
        <w:pStyle w:val="Bezmezer"/>
      </w:pPr>
    </w:p>
    <w:p w14:paraId="27E08A31" w14:textId="77777777" w:rsidR="00455E07" w:rsidRPr="00455E07" w:rsidRDefault="00455E07" w:rsidP="00455E07">
      <w:pPr>
        <w:pStyle w:val="Bezmezer"/>
        <w:rPr>
          <w:u w:val="single"/>
        </w:rPr>
      </w:pPr>
      <w:r w:rsidRPr="00455E07">
        <w:rPr>
          <w:u w:val="single"/>
        </w:rPr>
        <w:t>Co musí udělat škola, aby mohla ověřovat elektronické občanské průkazy</w:t>
      </w:r>
    </w:p>
    <w:p w14:paraId="6C223B96" w14:textId="77777777" w:rsidR="00455E07" w:rsidRDefault="00455E07" w:rsidP="00455E07">
      <w:pPr>
        <w:pStyle w:val="Bezmezer"/>
      </w:pPr>
      <w:r>
        <w:t xml:space="preserve">Ověřování vždy probíhá skrze aplikaci </w:t>
      </w:r>
      <w:proofErr w:type="spellStart"/>
      <w:r>
        <w:t>eDoklady</w:t>
      </w:r>
      <w:proofErr w:type="spellEnd"/>
      <w:r>
        <w:t>. V průběhu ověřování totožnosti systém pokaždé využívá </w:t>
      </w:r>
      <w:r w:rsidRPr="00455E07">
        <w:rPr>
          <w:b/>
          <w:bCs/>
        </w:rPr>
        <w:t>QR kódy</w:t>
      </w:r>
      <w:r>
        <w:t>.</w:t>
      </w:r>
    </w:p>
    <w:p w14:paraId="7854D5C3" w14:textId="08FD1BF3" w:rsidR="00455E07" w:rsidRDefault="00455E07" w:rsidP="00455E07">
      <w:pPr>
        <w:pStyle w:val="Bezmezer"/>
      </w:pPr>
      <w:r>
        <w:t>Ověřující škola se musí </w:t>
      </w:r>
      <w:r w:rsidRPr="00455E07">
        <w:rPr>
          <w:b/>
          <w:bCs/>
        </w:rPr>
        <w:t>zaregistrovat</w:t>
      </w:r>
      <w:r>
        <w:t> jako </w:t>
      </w:r>
      <w:r w:rsidRPr="00455E07">
        <w:rPr>
          <w:b/>
          <w:bCs/>
        </w:rPr>
        <w:t xml:space="preserve">Ověřovatel </w:t>
      </w:r>
      <w:proofErr w:type="spellStart"/>
      <w:r w:rsidRPr="00455E07">
        <w:rPr>
          <w:b/>
          <w:bCs/>
        </w:rPr>
        <w:t>eDokladů</w:t>
      </w:r>
      <w:proofErr w:type="spellEnd"/>
      <w:r>
        <w:t xml:space="preserve">. To lze provést dvěma způsoby: skrze datovou schránku nebo přes JIP/KAAS. </w:t>
      </w:r>
      <w:r>
        <w:t xml:space="preserve"> </w:t>
      </w:r>
    </w:p>
    <w:p w14:paraId="699985CF" w14:textId="77777777" w:rsidR="00455E07" w:rsidRDefault="00455E07" w:rsidP="00455E07">
      <w:pPr>
        <w:pStyle w:val="Bezmezer"/>
      </w:pPr>
      <w:r>
        <w:t>Zaregistrovaná škola se následně rozhodne pro ověřování skrze mobilní aplikaci nebo skrze webovou aplikaci, případně oběma způsoby.</w:t>
      </w:r>
    </w:p>
    <w:p w14:paraId="41AF4CA9" w14:textId="77777777" w:rsidR="00455E07" w:rsidRDefault="00455E07" w:rsidP="00455E07">
      <w:pPr>
        <w:pStyle w:val="Bezmezer"/>
      </w:pPr>
      <w:r>
        <w:t>Škola zaregistrovaná jako Ověřovatel přidělí potřebná práva pověřeným ověřujícím osobám.</w:t>
      </w:r>
    </w:p>
    <w:p w14:paraId="7D1CCFE6" w14:textId="77777777" w:rsidR="00455E07" w:rsidRDefault="00455E07" w:rsidP="00455E07">
      <w:pPr>
        <w:pStyle w:val="Bezmezer"/>
      </w:pPr>
    </w:p>
    <w:p w14:paraId="5560A8F5" w14:textId="77777777" w:rsidR="00455E07" w:rsidRPr="00455E07" w:rsidRDefault="00455E07" w:rsidP="00455E07">
      <w:pPr>
        <w:pStyle w:val="Bezmezer"/>
        <w:rPr>
          <w:u w:val="single"/>
        </w:rPr>
      </w:pPr>
      <w:r w:rsidRPr="00455E07">
        <w:rPr>
          <w:u w:val="single"/>
        </w:rPr>
        <w:t>Jaké jsou technické požadavky</w:t>
      </w:r>
    </w:p>
    <w:p w14:paraId="783EA953" w14:textId="77777777" w:rsidR="00455E07" w:rsidRPr="00455E07" w:rsidRDefault="00455E07" w:rsidP="00455E07">
      <w:pPr>
        <w:pStyle w:val="Bezmezer"/>
        <w:rPr>
          <w:b/>
          <w:bCs/>
        </w:rPr>
      </w:pPr>
      <w:r w:rsidRPr="00455E07">
        <w:rPr>
          <w:b/>
          <w:bCs/>
        </w:rPr>
        <w:t>A. Mobilní aplikace</w:t>
      </w:r>
    </w:p>
    <w:p w14:paraId="16F2CBB1" w14:textId="6C49DB97" w:rsidR="00455E07" w:rsidRDefault="00455E07" w:rsidP="00455E07">
      <w:pPr>
        <w:pStyle w:val="Bezmezer"/>
      </w:pPr>
      <w:r>
        <w:t xml:space="preserve">· </w:t>
      </w:r>
      <w:r>
        <w:t>Je možné využít libovolný tzv. chytrý telefon, který má operační systém Android ve verzi 10 a vyšší, nebo iOS ve verzi operačního systému 15 a vyšší (iPhone). Dále je potřeba, aby telefon uměl tzv. Bluetooth </w:t>
      </w:r>
      <w:proofErr w:type="spellStart"/>
      <w:r>
        <w:t>Low</w:t>
      </w:r>
      <w:proofErr w:type="spellEnd"/>
      <w:r>
        <w:t xml:space="preserve"> </w:t>
      </w:r>
      <w:proofErr w:type="spellStart"/>
      <w:r>
        <w:t>Energy</w:t>
      </w:r>
      <w:proofErr w:type="spellEnd"/>
      <w:r>
        <w:t xml:space="preserve"> verze 4.0 či vyšší a měl k dispozici fotoaparát, který podporuje čtení QR kódů.</w:t>
      </w:r>
    </w:p>
    <w:p w14:paraId="7B7D068F" w14:textId="6E45C275" w:rsidR="00455E07" w:rsidRDefault="00455E07" w:rsidP="00455E07">
      <w:pPr>
        <w:pStyle w:val="Bezmezer"/>
      </w:pPr>
      <w:r>
        <w:t>· U telefonů s OS Android byla zaznamenána vyšší míra chyb u nižších verzí 10 nebo u povýšených původně nižších verzí, např. z verze 9 na verze 10, 11 apod., a proto je doporučováno pořízení telefonu s vyšší verzí OS Android.</w:t>
      </w:r>
    </w:p>
    <w:p w14:paraId="0671A42C" w14:textId="4E2E5578" w:rsidR="00455E07" w:rsidRDefault="00455E07" w:rsidP="00455E07">
      <w:pPr>
        <w:pStyle w:val="Bezmezer"/>
      </w:pPr>
      <w:r>
        <w:t xml:space="preserve">· Dále aplikace nemusí fungovat správně u nepodporovaných alternativních verzí Androidu nebo po stažení z neoficiálních zdrojů. Zde je pro správné fungování mobilní aplikace nutné aplikaci stáhnout přes podporované veřejné oficiální služby Google play či </w:t>
      </w:r>
      <w:proofErr w:type="spellStart"/>
      <w:r>
        <w:t>App</w:t>
      </w:r>
      <w:proofErr w:type="spellEnd"/>
      <w:r>
        <w:t xml:space="preserve"> </w:t>
      </w:r>
      <w:proofErr w:type="spellStart"/>
      <w:r>
        <w:t>Store</w:t>
      </w:r>
      <w:proofErr w:type="spellEnd"/>
      <w:r>
        <w:t>.</w:t>
      </w:r>
    </w:p>
    <w:p w14:paraId="50B3E827" w14:textId="77777777" w:rsidR="00455E07" w:rsidRPr="00455E07" w:rsidRDefault="00455E07" w:rsidP="00455E07">
      <w:pPr>
        <w:pStyle w:val="Bezmezer"/>
        <w:rPr>
          <w:b/>
          <w:bCs/>
        </w:rPr>
      </w:pPr>
      <w:r w:rsidRPr="00455E07">
        <w:rPr>
          <w:b/>
          <w:bCs/>
        </w:rPr>
        <w:t>B. Webová aplikace</w:t>
      </w:r>
    </w:p>
    <w:p w14:paraId="20DDF48A" w14:textId="09E87F52" w:rsidR="00455E07" w:rsidRDefault="00455E07" w:rsidP="00455E07">
      <w:pPr>
        <w:pStyle w:val="Bezmezer"/>
      </w:pPr>
      <w:r>
        <w:t>· Při ověřování skrze webovou aplikaci škola potřebuje stolní počítač nebo notebook s připojením k internetu a tiskárnu pro vytisknutí QR kódu nebo displej pro jeho zobrazení.</w:t>
      </w:r>
    </w:p>
    <w:p w14:paraId="7DFB19D6" w14:textId="57553EE2" w:rsidR="00455E07" w:rsidRDefault="00455E07" w:rsidP="00455E07">
      <w:pPr>
        <w:pStyle w:val="Bezmezer"/>
      </w:pPr>
      <w:r>
        <w:t xml:space="preserve">· Webovou aplikaci pro ověřování není potřeba stahovat. Optimální zobrazení a práci umožňují tyto webové prohlížeče pro desktop: Google Chrome, Mozilla Firefox, Microsoft </w:t>
      </w:r>
      <w:proofErr w:type="spellStart"/>
      <w:r>
        <w:t>Edge</w:t>
      </w:r>
      <w:proofErr w:type="spellEnd"/>
      <w:r>
        <w:t>, Safari. Pro mobilní zařízení: Google Chrome, Safari.</w:t>
      </w:r>
    </w:p>
    <w:p w14:paraId="251B206D" w14:textId="77777777" w:rsidR="00455E07" w:rsidRPr="00455E07" w:rsidRDefault="00455E07" w:rsidP="00455E07">
      <w:pPr>
        <w:pStyle w:val="Bezmezer"/>
        <w:rPr>
          <w:b/>
          <w:bCs/>
        </w:rPr>
      </w:pPr>
      <w:r w:rsidRPr="00455E07">
        <w:rPr>
          <w:b/>
          <w:bCs/>
        </w:rPr>
        <w:t>Školám se doporučuje zajistit wifi pro připojení občanů bez mobilních dat.</w:t>
      </w:r>
    </w:p>
    <w:p w14:paraId="1CB7CED7" w14:textId="77777777" w:rsidR="00455E07" w:rsidRDefault="00455E07" w:rsidP="00455E07">
      <w:pPr>
        <w:pStyle w:val="Bezmezer"/>
      </w:pPr>
    </w:p>
    <w:p w14:paraId="5286CE65" w14:textId="77777777" w:rsidR="00455E07" w:rsidRPr="00455E07" w:rsidRDefault="00455E07" w:rsidP="00455E07">
      <w:pPr>
        <w:pStyle w:val="Bezmezer"/>
        <w:rPr>
          <w:u w:val="single"/>
        </w:rPr>
      </w:pPr>
      <w:r w:rsidRPr="00455E07">
        <w:rPr>
          <w:u w:val="single"/>
        </w:rPr>
        <w:t>Jak ověřování probíhá</w:t>
      </w:r>
    </w:p>
    <w:p w14:paraId="18A8CCB0" w14:textId="77777777" w:rsidR="00455E07" w:rsidRDefault="00455E07" w:rsidP="00455E07">
      <w:pPr>
        <w:pStyle w:val="Bezmezer"/>
      </w:pPr>
      <w:r>
        <w:t xml:space="preserve">Totožnost musí být vždy prokázána a ověřena skrze aplikaci </w:t>
      </w:r>
      <w:proofErr w:type="spellStart"/>
      <w:r>
        <w:t>eDoklady</w:t>
      </w:r>
      <w:proofErr w:type="spellEnd"/>
      <w:r>
        <w:t>, přičemž je nezbytná součinnost techniky prokazující se i ověřující osoby. K propojení obou osob jsou generovány QR kódy: v případě využití mobilního zařízení prokazující se osobou, v případě webové aplikace ověřující osobou. K poskytnutí konkrétních informací uděluje prokazující se osoba na svém zařízení souhlas / nesouhlas s poskytnutím požadovaných údajů.</w:t>
      </w:r>
    </w:p>
    <w:p w14:paraId="7EDB4918" w14:textId="77777777" w:rsidR="00455E07" w:rsidRDefault="00455E07" w:rsidP="00455E07">
      <w:pPr>
        <w:pStyle w:val="Bezmezer"/>
      </w:pPr>
    </w:p>
    <w:p w14:paraId="3D9019F3" w14:textId="77777777" w:rsidR="00455E07" w:rsidRPr="00455E07" w:rsidRDefault="00455E07" w:rsidP="00455E07">
      <w:pPr>
        <w:pStyle w:val="Bezmezer"/>
        <w:rPr>
          <w:u w:val="single"/>
        </w:rPr>
      </w:pPr>
      <w:r w:rsidRPr="00455E07">
        <w:rPr>
          <w:u w:val="single"/>
        </w:rPr>
        <w:t xml:space="preserve">Platnost </w:t>
      </w:r>
      <w:proofErr w:type="spellStart"/>
      <w:r w:rsidRPr="00455E07">
        <w:rPr>
          <w:u w:val="single"/>
        </w:rPr>
        <w:t>eDokladu</w:t>
      </w:r>
      <w:proofErr w:type="spellEnd"/>
    </w:p>
    <w:p w14:paraId="5C405F69" w14:textId="77777777" w:rsidR="00455E07" w:rsidRDefault="00455E07" w:rsidP="00455E07">
      <w:pPr>
        <w:pStyle w:val="Bezmezer"/>
      </w:pPr>
      <w:proofErr w:type="spellStart"/>
      <w:r>
        <w:t>eDoklady</w:t>
      </w:r>
      <w:proofErr w:type="spellEnd"/>
      <w:r>
        <w:t xml:space="preserve"> jsou opatřené elektronickou pečetí. </w:t>
      </w:r>
      <w:proofErr w:type="spellStart"/>
      <w:r>
        <w:t>eDoklad</w:t>
      </w:r>
      <w:proofErr w:type="spellEnd"/>
      <w:r>
        <w:t xml:space="preserve"> je platný 48 hodin od vystavení. Informace o platnosti je ověřované osobě i ověřovateli viditelně zpřístupněna, </w:t>
      </w:r>
      <w:proofErr w:type="spellStart"/>
      <w:r>
        <w:t>eDoklad</w:t>
      </w:r>
      <w:proofErr w:type="spellEnd"/>
      <w:r>
        <w:t xml:space="preserve"> obsahuje informaci o čase vystavení, od kterého se počítá oněch 48 hodin. Po uplynutí 48 hodin nelze ze strany DIA jakožto vydavatele digitálního stejnopisu průkazu zaručit, že údaje v něm uvedené jsou platné a správné, a ověřovatel může odmítnout akceptování </w:t>
      </w:r>
      <w:proofErr w:type="spellStart"/>
      <w:r>
        <w:t>eDokladu</w:t>
      </w:r>
      <w:proofErr w:type="spellEnd"/>
      <w:r>
        <w:t>.</w:t>
      </w:r>
    </w:p>
    <w:p w14:paraId="2C991AB5" w14:textId="77777777" w:rsidR="00455E07" w:rsidRDefault="00455E07" w:rsidP="00455E07">
      <w:pPr>
        <w:pStyle w:val="Bezmezer"/>
      </w:pPr>
    </w:p>
    <w:p w14:paraId="08A26A3F" w14:textId="77777777" w:rsidR="00455E07" w:rsidRPr="00455E07" w:rsidRDefault="00455E07" w:rsidP="00455E07">
      <w:pPr>
        <w:pStyle w:val="Bezmezer"/>
        <w:rPr>
          <w:u w:val="single"/>
        </w:rPr>
      </w:pPr>
      <w:r w:rsidRPr="00455E07">
        <w:rPr>
          <w:u w:val="single"/>
        </w:rPr>
        <w:t xml:space="preserve">Mohou </w:t>
      </w:r>
      <w:proofErr w:type="spellStart"/>
      <w:r w:rsidRPr="00455E07">
        <w:rPr>
          <w:u w:val="single"/>
        </w:rPr>
        <w:t>eDoklady</w:t>
      </w:r>
      <w:proofErr w:type="spellEnd"/>
      <w:r w:rsidRPr="00455E07">
        <w:rPr>
          <w:u w:val="single"/>
        </w:rPr>
        <w:t xml:space="preserve"> využívat i cizinci?</w:t>
      </w:r>
    </w:p>
    <w:p w14:paraId="59D2BA38" w14:textId="77777777" w:rsidR="00455E07" w:rsidRDefault="00455E07" w:rsidP="00455E07">
      <w:pPr>
        <w:pStyle w:val="Bezmezer"/>
      </w:pPr>
      <w:r>
        <w:t xml:space="preserve">Cizinci nemohou </w:t>
      </w:r>
      <w:proofErr w:type="spellStart"/>
      <w:r>
        <w:t>eDoklady</w:t>
      </w:r>
      <w:proofErr w:type="spellEnd"/>
      <w:r>
        <w:t xml:space="preserve"> využívat, aplikace je určena pouze pro občany ČR disponující vydaným platným občanských průkazem a Identitou občana.</w:t>
      </w:r>
    </w:p>
    <w:p w14:paraId="043ECD31" w14:textId="77777777" w:rsidR="00455E07" w:rsidRDefault="00455E07" w:rsidP="00455E07">
      <w:pPr>
        <w:pStyle w:val="Bezmezer"/>
      </w:pPr>
    </w:p>
    <w:p w14:paraId="785271EA" w14:textId="77777777" w:rsidR="00455E07" w:rsidRPr="00455E07" w:rsidRDefault="00455E07" w:rsidP="00455E07">
      <w:pPr>
        <w:pStyle w:val="Bezmezer"/>
        <w:rPr>
          <w:u w:val="single"/>
        </w:rPr>
      </w:pPr>
      <w:r w:rsidRPr="00455E07">
        <w:rPr>
          <w:u w:val="single"/>
        </w:rPr>
        <w:t xml:space="preserve">Mohou vlastnit </w:t>
      </w:r>
      <w:proofErr w:type="spellStart"/>
      <w:r w:rsidRPr="00455E07">
        <w:rPr>
          <w:u w:val="single"/>
        </w:rPr>
        <w:t>eDoklady</w:t>
      </w:r>
      <w:proofErr w:type="spellEnd"/>
      <w:r w:rsidRPr="00455E07">
        <w:rPr>
          <w:u w:val="single"/>
        </w:rPr>
        <w:t xml:space="preserve"> i nezletilé osoby?</w:t>
      </w:r>
    </w:p>
    <w:p w14:paraId="0DE92927" w14:textId="77777777" w:rsidR="00455E07" w:rsidRDefault="00455E07" w:rsidP="00455E07">
      <w:pPr>
        <w:pStyle w:val="Bezmezer"/>
      </w:pPr>
      <w:r>
        <w:t xml:space="preserve">Nezletilé osoby mohou využívat </w:t>
      </w:r>
      <w:proofErr w:type="spellStart"/>
      <w:r>
        <w:t>eDoklady</w:t>
      </w:r>
      <w:proofErr w:type="spellEnd"/>
      <w:r>
        <w:t>. Podmínkou je, aby měly vydaný platný občanský průkaz a vlastní Identitu občana.</w:t>
      </w:r>
    </w:p>
    <w:p w14:paraId="44DC7C7B" w14:textId="77777777" w:rsidR="00455E07" w:rsidRDefault="00455E07" w:rsidP="00455E07">
      <w:pPr>
        <w:pStyle w:val="Bezmezer"/>
      </w:pPr>
    </w:p>
    <w:p w14:paraId="59A0672E" w14:textId="77777777" w:rsidR="00455E07" w:rsidRPr="00455E07" w:rsidRDefault="00455E07" w:rsidP="00455E07">
      <w:pPr>
        <w:pStyle w:val="Bezmezer"/>
        <w:rPr>
          <w:u w:val="single"/>
        </w:rPr>
      </w:pPr>
      <w:r w:rsidRPr="00455E07">
        <w:rPr>
          <w:u w:val="single"/>
        </w:rPr>
        <w:t>Příklady situací s povinností prokázání totožnosti</w:t>
      </w:r>
    </w:p>
    <w:p w14:paraId="79A32A25" w14:textId="77777777" w:rsidR="00455E07" w:rsidRDefault="00455E07" w:rsidP="00455E07">
      <w:pPr>
        <w:pStyle w:val="Bezmezer"/>
      </w:pPr>
      <w:r w:rsidRPr="00455E07">
        <w:rPr>
          <w:b/>
          <w:bCs/>
        </w:rPr>
        <w:t>Maturitní zkoušky</w:t>
      </w:r>
      <w:r>
        <w:t>: Před konáním každé ze zkoušek společné části maturitní zkoušky je žák povinen předložit zadavateli svůj průkaz totožnosti (§ 78a odst. 4 školského zákona).</w:t>
      </w:r>
    </w:p>
    <w:p w14:paraId="0394D6DD" w14:textId="77777777" w:rsidR="00455E07" w:rsidRDefault="00455E07" w:rsidP="00455E07">
      <w:pPr>
        <w:pStyle w:val="Bezmezer"/>
      </w:pPr>
      <w:r w:rsidRPr="00455E07">
        <w:rPr>
          <w:b/>
          <w:bCs/>
        </w:rPr>
        <w:t>Další vzdělávání ve školách</w:t>
      </w:r>
      <w:r>
        <w:t>: Před konáním jednotlivé zkoušky je uchazeč povinen prokázat se řediteli školy nebo zadavateli průkazem totožnosti (§ 113 odst. 4 školského zákona).</w:t>
      </w:r>
    </w:p>
    <w:p w14:paraId="000394DC" w14:textId="77777777" w:rsidR="00455E07" w:rsidRDefault="00455E07" w:rsidP="00455E07">
      <w:pPr>
        <w:pStyle w:val="Bezmezer"/>
      </w:pPr>
      <w:r w:rsidRPr="00455E07">
        <w:rPr>
          <w:b/>
          <w:bCs/>
        </w:rPr>
        <w:t>Správní řízení</w:t>
      </w:r>
      <w:r>
        <w:t>: U správního řízení je účastník řízení – přesněji jeho zákonný zástupce – povinen předložit na výzvu oprávněné úřední osoby průkaz totožnosti (§ 36 odst. 5 správního řádu). Jedná se například o přijetí dítěte do mateřské školy (zápis do MŠ), přijetí žáka ke vzdělávání v základní škole (zápis do ZŠ, přestup) apod.</w:t>
      </w:r>
    </w:p>
    <w:p w14:paraId="247274B8" w14:textId="77777777" w:rsidR="00455E07" w:rsidRDefault="00455E07" w:rsidP="00455E07">
      <w:pPr>
        <w:pStyle w:val="Bezmezer"/>
      </w:pPr>
      <w:r w:rsidRPr="00455E07">
        <w:rPr>
          <w:b/>
          <w:bCs/>
        </w:rPr>
        <w:t>Přijímací zkoušky na SŠ</w:t>
      </w:r>
      <w:r>
        <w:t>: Právní předpisy výslovně neupravují povinnost prokázat se při přijímacím řízení na SŠ dokladem totožnosti. Škola přesto může ověření totožnosti požadovat, nastavení pravidel spadá do kompetencí ředitele školy. Je však třeba vzít v potaz skutečnost, že někteří žáci mohou být v době konání zkoušky mladší 15 let, nemají tudíž povinnost vlastnit občanský průkaz. Neprokázání totožnosti nemůže být důvodem pro vyloučení žáka z konání zkoušky. Při podezření z podvodu může škola kroky k ověření totožnosti provést po vykonání zkoušky.</w:t>
      </w:r>
    </w:p>
    <w:p w14:paraId="3D292063" w14:textId="77777777" w:rsidR="005620EA" w:rsidRDefault="005620EA"/>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E07"/>
    <w:rsid w:val="00393B72"/>
    <w:rsid w:val="00455E07"/>
    <w:rsid w:val="005620EA"/>
    <w:rsid w:val="00740067"/>
    <w:rsid w:val="007B18A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77D6"/>
  <w15:chartTrackingRefBased/>
  <w15:docId w15:val="{04367CD9-0D74-4A4B-A28A-B8DC2C54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455E07"/>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455E07"/>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455E07"/>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455E0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455E07"/>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455E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455E07"/>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455E07"/>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455E07"/>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455E07"/>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455E07"/>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455E07"/>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455E07"/>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455E07"/>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455E0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55E0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55E0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55E07"/>
    <w:rPr>
      <w:rFonts w:eastAsiaTheme="majorEastAsia" w:cstheme="majorBidi"/>
      <w:color w:val="272727" w:themeColor="text1" w:themeTint="D8"/>
    </w:rPr>
  </w:style>
  <w:style w:type="paragraph" w:styleId="Nzev">
    <w:name w:val="Title"/>
    <w:basedOn w:val="Normln"/>
    <w:next w:val="Normln"/>
    <w:link w:val="NzevChar"/>
    <w:uiPriority w:val="10"/>
    <w:qFormat/>
    <w:rsid w:val="00455E07"/>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55E0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55E0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55E0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55E0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55E07"/>
    <w:rPr>
      <w:rFonts w:ascii="Calibri" w:hAnsi="Calibri" w:cs="Calibri"/>
      <w:i/>
      <w:iCs/>
      <w:color w:val="404040" w:themeColor="text1" w:themeTint="BF"/>
    </w:rPr>
  </w:style>
  <w:style w:type="paragraph" w:styleId="Odstavecseseznamem">
    <w:name w:val="List Paragraph"/>
    <w:basedOn w:val="Normln"/>
    <w:uiPriority w:val="34"/>
    <w:qFormat/>
    <w:rsid w:val="00455E07"/>
    <w:pPr>
      <w:ind w:left="720"/>
      <w:contextualSpacing/>
    </w:pPr>
  </w:style>
  <w:style w:type="character" w:styleId="Zdraznnintenzivn">
    <w:name w:val="Intense Emphasis"/>
    <w:basedOn w:val="Standardnpsmoodstavce"/>
    <w:uiPriority w:val="21"/>
    <w:qFormat/>
    <w:rsid w:val="00455E07"/>
    <w:rPr>
      <w:i/>
      <w:iCs/>
      <w:color w:val="2F5496" w:themeColor="accent1" w:themeShade="BF"/>
    </w:rPr>
  </w:style>
  <w:style w:type="paragraph" w:styleId="Vrazncitt">
    <w:name w:val="Intense Quote"/>
    <w:basedOn w:val="Normln"/>
    <w:next w:val="Normln"/>
    <w:link w:val="VrazncittChar"/>
    <w:uiPriority w:val="30"/>
    <w:qFormat/>
    <w:rsid w:val="00455E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455E07"/>
    <w:rPr>
      <w:rFonts w:ascii="Calibri" w:hAnsi="Calibri" w:cs="Calibri"/>
      <w:i/>
      <w:iCs/>
      <w:color w:val="2F5496" w:themeColor="accent1" w:themeShade="BF"/>
    </w:rPr>
  </w:style>
  <w:style w:type="character" w:styleId="Odkazintenzivn">
    <w:name w:val="Intense Reference"/>
    <w:basedOn w:val="Standardnpsmoodstavce"/>
    <w:uiPriority w:val="32"/>
    <w:qFormat/>
    <w:rsid w:val="00455E0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765</Words>
  <Characters>4518</Characters>
  <Application>Microsoft Office Word</Application>
  <DocSecurity>0</DocSecurity>
  <Lines>37</Lines>
  <Paragraphs>10</Paragraphs>
  <ScaleCrop>false</ScaleCrop>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2025-01-13T11:49:00Z</dcterms:created>
  <dcterms:modified xsi:type="dcterms:W3CDTF">2025-01-13T11:56:00Z</dcterms:modified>
</cp:coreProperties>
</file>