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D6AB7" w14:textId="77777777" w:rsidR="00D12E3D" w:rsidRPr="00D12E3D" w:rsidRDefault="00D12E3D" w:rsidP="00D12E3D">
      <w:pPr>
        <w:shd w:val="clear" w:color="auto" w:fill="F8FAFC"/>
        <w:spacing w:before="180" w:after="0"/>
        <w:outlineLvl w:val="0"/>
        <w:rPr>
          <w:rFonts w:asciiTheme="minorHAnsi" w:eastAsia="Times New Roman" w:hAnsiTheme="minorHAnsi" w:cstheme="minorHAnsi"/>
          <w:b/>
          <w:bCs/>
          <w:color w:val="002060"/>
          <w:kern w:val="36"/>
          <w:sz w:val="28"/>
          <w:szCs w:val="28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b/>
          <w:bCs/>
          <w:color w:val="002060"/>
          <w:kern w:val="36"/>
          <w:sz w:val="28"/>
          <w:szCs w:val="28"/>
          <w:lang w:eastAsia="cs-CZ"/>
          <w14:ligatures w14:val="none"/>
        </w:rPr>
        <w:t>Lékařský posudek u přijímacího řízení: připomenutí podmínek pro jeho předkládání</w:t>
      </w:r>
    </w:p>
    <w:p w14:paraId="7AA47B08" w14:textId="77777777" w:rsidR="00D12E3D" w:rsidRDefault="00D12E3D" w:rsidP="00D12E3D">
      <w:pPr>
        <w:shd w:val="clear" w:color="auto" w:fill="F8FAFC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</w:p>
    <w:p w14:paraId="1403EC23" w14:textId="2E6F3080" w:rsidR="00D12E3D" w:rsidRPr="00D12E3D" w:rsidRDefault="00D12E3D" w:rsidP="00D12E3D">
      <w:pPr>
        <w:shd w:val="clear" w:color="auto" w:fill="F8FAFC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hyperlink r:id="rId5" w:tooltip="Přejít na edu.gov.cz." w:history="1">
        <w:r w:rsidRPr="00D12E3D">
          <w:rPr>
            <w:rFonts w:asciiTheme="minorHAnsi" w:eastAsia="Times New Roman" w:hAnsiTheme="minorHAnsi" w:cstheme="minorHAnsi"/>
            <w:color w:val="2463EB"/>
            <w:kern w:val="0"/>
            <w:u w:val="single"/>
            <w:lang w:eastAsia="cs-CZ"/>
            <w14:ligatures w14:val="none"/>
          </w:rPr>
          <w:t>edu.gov.cz</w:t>
        </w:r>
      </w:hyperlink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 &gt; </w:t>
      </w:r>
      <w:hyperlink r:id="rId6" w:tooltip="Přejít na Lékařský posudek u přijímacího řízení: připomenutí podmínek pro jeho předkládání." w:history="1">
        <w:r w:rsidRPr="00D12E3D">
          <w:rPr>
            <w:rFonts w:asciiTheme="minorHAnsi" w:eastAsia="Times New Roman" w:hAnsiTheme="minorHAnsi" w:cstheme="minorHAnsi"/>
            <w:color w:val="2463EB"/>
            <w:kern w:val="0"/>
            <w:u w:val="single"/>
            <w:lang w:eastAsia="cs-CZ"/>
            <w14:ligatures w14:val="none"/>
          </w:rPr>
          <w:t>Lékařský posudek u přijímacího řízení: připomenutí podmínek pro jeho předkládání</w:t>
        </w:r>
      </w:hyperlink>
    </w:p>
    <w:p w14:paraId="7586C5B7" w14:textId="77777777" w:rsidR="00D12E3D" w:rsidRPr="00D12E3D" w:rsidRDefault="00D12E3D" w:rsidP="00D12E3D">
      <w:pPr>
        <w:shd w:val="clear" w:color="auto" w:fill="EEF3F9"/>
        <w:spacing w:after="300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V souvislosti s probíhajícím přijímacím řízením ke střednímu vzdělávání připomíná Ministerstvo školství, mládeže a tělovýchovy pravidla pro vyžadování lékařského posudku o zdravotní způsobilosti uchazeče. Vrchní ředitel sekce vzdělávání a mládeže Jan Mareš v dopise adresovaném ředitelkám a ředitelům škol upozorňuje, že lékařský posudek lze požadovat pouze u oborů, kde to stanoví </w:t>
      </w:r>
      <w:r w:rsidRPr="00D12E3D">
        <w:rPr>
          <w:rFonts w:asciiTheme="minorHAnsi" w:eastAsia="Times New Roman" w:hAnsiTheme="minorHAnsi" w:cstheme="minorHAnsi"/>
          <w:b/>
          <w:bCs/>
          <w:color w:val="404040"/>
          <w:kern w:val="0"/>
          <w:lang w:eastAsia="cs-CZ"/>
          <w14:ligatures w14:val="none"/>
        </w:rPr>
        <w:t>nařízení vlády č. 211/2010 Sb.</w:t>
      </w: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 ve znění pozdějších předpisů.</w:t>
      </w:r>
    </w:p>
    <w:p w14:paraId="4E5BF6DD" w14:textId="77777777" w:rsidR="00D12E3D" w:rsidRPr="00D12E3D" w:rsidRDefault="00D12E3D" w:rsidP="00D12E3D">
      <w:pPr>
        <w:shd w:val="clear" w:color="auto" w:fill="EEF3F8"/>
        <w:spacing w:before="225" w:after="225" w:line="420" w:lineRule="atLeast"/>
        <w:jc w:val="both"/>
        <w:rPr>
          <w:rFonts w:asciiTheme="minorHAnsi" w:eastAsia="Times New Roman" w:hAnsiTheme="minorHAnsi" w:cstheme="minorHAnsi"/>
          <w:color w:val="404040"/>
          <w:spacing w:val="2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b/>
          <w:bCs/>
          <w:color w:val="404040"/>
          <w:spacing w:val="2"/>
          <w:kern w:val="0"/>
          <w:lang w:eastAsia="cs-CZ"/>
          <w14:ligatures w14:val="none"/>
        </w:rPr>
        <w:t>Škola nemůže stanovit vlastní požadavky na zdravotní způsobilost nad rámec tohoto nařízení.</w:t>
      </w:r>
      <w:r w:rsidRPr="00D12E3D">
        <w:rPr>
          <w:rFonts w:asciiTheme="minorHAnsi" w:eastAsia="Times New Roman" w:hAnsiTheme="minorHAnsi" w:cstheme="minorHAnsi"/>
          <w:color w:val="404040"/>
          <w:spacing w:val="2"/>
          <w:kern w:val="0"/>
          <w:lang w:eastAsia="cs-CZ"/>
          <w14:ligatures w14:val="none"/>
        </w:rPr>
        <w:t> Vyhláška č. 422/2023 Sb. navazuje na toto ustanovení a upřesňuje, že posudek je součástí přihlášky pouze v případech, kdy je podmínkou přijetí splnění požadavků zdravotní způsobilosti podle uvedeného nařízení vlády.</w:t>
      </w:r>
    </w:p>
    <w:p w14:paraId="391A6004" w14:textId="77777777" w:rsidR="00D12E3D" w:rsidRPr="00D12E3D" w:rsidRDefault="00D12E3D" w:rsidP="00D12E3D">
      <w:pPr>
        <w:shd w:val="clear" w:color="auto" w:fill="F8FAFC"/>
        <w:spacing w:before="100" w:beforeAutospacing="1" w:after="100" w:afterAutospacing="1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b/>
          <w:bCs/>
          <w:color w:val="404040"/>
          <w:kern w:val="0"/>
          <w:lang w:eastAsia="cs-CZ"/>
          <w14:ligatures w14:val="none"/>
        </w:rPr>
        <w:t>Součástí lékařského posudku musí být:</w:t>
      </w:r>
    </w:p>
    <w:p w14:paraId="43E24A3A" w14:textId="77777777" w:rsidR="00D12E3D" w:rsidRPr="00D12E3D" w:rsidRDefault="00D12E3D" w:rsidP="00D12E3D">
      <w:pPr>
        <w:numPr>
          <w:ilvl w:val="0"/>
          <w:numId w:val="1"/>
        </w:numPr>
        <w:shd w:val="clear" w:color="auto" w:fill="F8FAFC"/>
        <w:spacing w:before="100" w:beforeAutospacing="1" w:after="100" w:afterAutospacing="1"/>
        <w:ind w:left="960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identifikační údaje uchazeče,</w:t>
      </w:r>
    </w:p>
    <w:p w14:paraId="5B466591" w14:textId="77777777" w:rsidR="00D12E3D" w:rsidRPr="00D12E3D" w:rsidRDefault="00D12E3D" w:rsidP="00D12E3D">
      <w:pPr>
        <w:numPr>
          <w:ilvl w:val="0"/>
          <w:numId w:val="1"/>
        </w:numPr>
        <w:shd w:val="clear" w:color="auto" w:fill="F8FAFC"/>
        <w:spacing w:before="100" w:beforeAutospacing="1" w:after="100" w:afterAutospacing="1"/>
        <w:ind w:left="960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uvedení oboru vzdělání, pro který je posudek vystaven,</w:t>
      </w:r>
    </w:p>
    <w:p w14:paraId="36B344FE" w14:textId="77777777" w:rsidR="00D12E3D" w:rsidRPr="00D12E3D" w:rsidRDefault="00D12E3D" w:rsidP="00D12E3D">
      <w:pPr>
        <w:numPr>
          <w:ilvl w:val="0"/>
          <w:numId w:val="1"/>
        </w:numPr>
        <w:shd w:val="clear" w:color="auto" w:fill="F8FAFC"/>
        <w:spacing w:before="100" w:beforeAutospacing="1" w:after="100" w:afterAutospacing="1"/>
        <w:ind w:left="960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jednoznačné vyjádření o zdravotní způsobilosti (zdravotní způsobilost s podmínkou se nepřipouští),</w:t>
      </w:r>
    </w:p>
    <w:p w14:paraId="166A8B88" w14:textId="77777777" w:rsidR="00D12E3D" w:rsidRPr="00D12E3D" w:rsidRDefault="00D12E3D" w:rsidP="00D12E3D">
      <w:pPr>
        <w:numPr>
          <w:ilvl w:val="0"/>
          <w:numId w:val="1"/>
        </w:numPr>
        <w:shd w:val="clear" w:color="auto" w:fill="F8FAFC"/>
        <w:spacing w:before="100" w:beforeAutospacing="1" w:after="100" w:afterAutospacing="1"/>
        <w:ind w:left="960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datum vydání posudku,</w:t>
      </w:r>
    </w:p>
    <w:p w14:paraId="1077B048" w14:textId="77777777" w:rsidR="00D12E3D" w:rsidRPr="00D12E3D" w:rsidRDefault="00D12E3D" w:rsidP="00D12E3D">
      <w:pPr>
        <w:numPr>
          <w:ilvl w:val="0"/>
          <w:numId w:val="1"/>
        </w:numPr>
        <w:shd w:val="clear" w:color="auto" w:fill="F8FAFC"/>
        <w:spacing w:before="100" w:beforeAutospacing="1" w:after="100" w:afterAutospacing="1"/>
        <w:ind w:left="960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identifikační údaje vydávajícího lékaře.</w:t>
      </w:r>
    </w:p>
    <w:p w14:paraId="5AB285C2" w14:textId="77777777" w:rsidR="00D12E3D" w:rsidRPr="00D12E3D" w:rsidRDefault="00D12E3D" w:rsidP="00D12E3D">
      <w:pPr>
        <w:shd w:val="clear" w:color="auto" w:fill="F8FAFC"/>
        <w:spacing w:before="225" w:after="225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b/>
          <w:bCs/>
          <w:color w:val="404040"/>
          <w:kern w:val="0"/>
          <w:lang w:eastAsia="cs-CZ"/>
          <w14:ligatures w14:val="none"/>
        </w:rPr>
        <w:t>Je-li závěr o zdravotní způsobilosti pro více oborů shodný, lze je uvést na jednom formuláři</w:t>
      </w: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. Doporučujeme využít formulář, který je přílohou </w:t>
      </w:r>
      <w:hyperlink r:id="rId7" w:tgtFrame="_blank" w:history="1">
        <w:r w:rsidRPr="00D12E3D">
          <w:rPr>
            <w:rFonts w:asciiTheme="minorHAnsi" w:eastAsia="Times New Roman" w:hAnsiTheme="minorHAnsi" w:cstheme="minorHAnsi"/>
            <w:color w:val="2463EB"/>
            <w:kern w:val="0"/>
            <w:u w:val="single"/>
            <w:lang w:eastAsia="cs-CZ"/>
            <w14:ligatures w14:val="none"/>
          </w:rPr>
          <w:t>č. 1 metodického materiálu k přijímacímu řízení do středního vzdělávání a konzervatoří pro školní rok 2024/2025.</w:t>
        </w:r>
      </w:hyperlink>
    </w:p>
    <w:p w14:paraId="0DC247E2" w14:textId="77777777" w:rsidR="00D12E3D" w:rsidRPr="00D12E3D" w:rsidRDefault="00D12E3D" w:rsidP="00D12E3D">
      <w:pPr>
        <w:shd w:val="clear" w:color="auto" w:fill="F8FAFC"/>
        <w:spacing w:before="100" w:beforeAutospacing="1" w:after="100" w:afterAutospacing="1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b/>
          <w:bCs/>
          <w:color w:val="404040"/>
          <w:kern w:val="0"/>
          <w:lang w:eastAsia="cs-CZ"/>
          <w14:ligatures w14:val="none"/>
        </w:rPr>
        <w:t>Obory, které zpravidla nevyžadují zvláštní zdravotní požadavky, zahrnují</w:t>
      </w: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 například skupiny:</w:t>
      </w:r>
    </w:p>
    <w:p w14:paraId="714C6BDC" w14:textId="77777777" w:rsidR="00D12E3D" w:rsidRPr="00D12E3D" w:rsidRDefault="00D12E3D" w:rsidP="00D12E3D">
      <w:pPr>
        <w:numPr>
          <w:ilvl w:val="0"/>
          <w:numId w:val="2"/>
        </w:numPr>
        <w:shd w:val="clear" w:color="auto" w:fill="F8FAFC"/>
        <w:spacing w:before="100" w:beforeAutospacing="1" w:after="100" w:afterAutospacing="1"/>
        <w:ind w:left="960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b/>
          <w:bCs/>
          <w:color w:val="404040"/>
          <w:kern w:val="0"/>
          <w:lang w:eastAsia="cs-CZ"/>
          <w14:ligatures w14:val="none"/>
        </w:rPr>
        <w:t>16</w:t>
      </w: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 Ekologie a ochrana životního prostředí,</w:t>
      </w:r>
    </w:p>
    <w:p w14:paraId="1BD2D10F" w14:textId="77777777" w:rsidR="00D12E3D" w:rsidRPr="00D12E3D" w:rsidRDefault="00D12E3D" w:rsidP="00D12E3D">
      <w:pPr>
        <w:numPr>
          <w:ilvl w:val="0"/>
          <w:numId w:val="2"/>
        </w:numPr>
        <w:shd w:val="clear" w:color="auto" w:fill="F8FAFC"/>
        <w:spacing w:before="100" w:beforeAutospacing="1" w:after="100" w:afterAutospacing="1"/>
        <w:ind w:left="960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b/>
          <w:bCs/>
          <w:color w:val="404040"/>
          <w:kern w:val="0"/>
          <w:lang w:eastAsia="cs-CZ"/>
          <w14:ligatures w14:val="none"/>
        </w:rPr>
        <w:t>18</w:t>
      </w: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 Informatické obory,</w:t>
      </w:r>
    </w:p>
    <w:p w14:paraId="01AAE2ED" w14:textId="77777777" w:rsidR="00D12E3D" w:rsidRPr="00D12E3D" w:rsidRDefault="00D12E3D" w:rsidP="00D12E3D">
      <w:pPr>
        <w:numPr>
          <w:ilvl w:val="0"/>
          <w:numId w:val="2"/>
        </w:numPr>
        <w:shd w:val="clear" w:color="auto" w:fill="F8FAFC"/>
        <w:spacing w:before="100" w:beforeAutospacing="1" w:after="100" w:afterAutospacing="1"/>
        <w:ind w:left="960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b/>
          <w:bCs/>
          <w:color w:val="404040"/>
          <w:kern w:val="0"/>
          <w:lang w:eastAsia="cs-CZ"/>
          <w14:ligatures w14:val="none"/>
        </w:rPr>
        <w:t>63</w:t>
      </w: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 Ekonomika a administrativa,</w:t>
      </w:r>
    </w:p>
    <w:p w14:paraId="13D05399" w14:textId="77777777" w:rsidR="00D12E3D" w:rsidRPr="00D12E3D" w:rsidRDefault="00D12E3D" w:rsidP="00D12E3D">
      <w:pPr>
        <w:numPr>
          <w:ilvl w:val="0"/>
          <w:numId w:val="2"/>
        </w:numPr>
        <w:shd w:val="clear" w:color="auto" w:fill="F8FAFC"/>
        <w:spacing w:before="100" w:beforeAutospacing="1" w:after="100" w:afterAutospacing="1"/>
        <w:ind w:left="960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b/>
          <w:bCs/>
          <w:color w:val="404040"/>
          <w:kern w:val="0"/>
          <w:lang w:eastAsia="cs-CZ"/>
          <w14:ligatures w14:val="none"/>
        </w:rPr>
        <w:t>78</w:t>
      </w: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 Obecně odborná příprava,</w:t>
      </w:r>
    </w:p>
    <w:p w14:paraId="3A23E296" w14:textId="77777777" w:rsidR="00D12E3D" w:rsidRPr="00D12E3D" w:rsidRDefault="00D12E3D" w:rsidP="00D12E3D">
      <w:pPr>
        <w:numPr>
          <w:ilvl w:val="0"/>
          <w:numId w:val="2"/>
        </w:numPr>
        <w:shd w:val="clear" w:color="auto" w:fill="F8FAFC"/>
        <w:spacing w:before="100" w:beforeAutospacing="1" w:after="100" w:afterAutospacing="1"/>
        <w:ind w:left="960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b/>
          <w:bCs/>
          <w:color w:val="404040"/>
          <w:kern w:val="0"/>
          <w:lang w:eastAsia="cs-CZ"/>
          <w14:ligatures w14:val="none"/>
        </w:rPr>
        <w:t>79</w:t>
      </w: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 Obecná příprava (s výjimkou oboru Gymnázium se sportovní přípravou).</w:t>
      </w:r>
    </w:p>
    <w:p w14:paraId="0DB86259" w14:textId="77777777" w:rsidR="00D12E3D" w:rsidRPr="00D12E3D" w:rsidRDefault="00D12E3D" w:rsidP="00D12E3D">
      <w:pPr>
        <w:shd w:val="clear" w:color="auto" w:fill="F8FAFC"/>
        <w:spacing w:before="225" w:after="225" w:line="420" w:lineRule="atLeast"/>
        <w:jc w:val="both"/>
        <w:rPr>
          <w:rFonts w:asciiTheme="minorHAnsi" w:eastAsia="Times New Roman" w:hAnsiTheme="minorHAnsi" w:cstheme="minorHAnsi"/>
          <w:color w:val="404040"/>
          <w:spacing w:val="2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color w:val="404040"/>
          <w:spacing w:val="2"/>
          <w:kern w:val="0"/>
          <w:lang w:eastAsia="cs-CZ"/>
          <w14:ligatures w14:val="none"/>
        </w:rPr>
        <w:t>Pozor, uvedený výčet není úplný. I některé obory ve skupinách </w:t>
      </w:r>
      <w:r w:rsidRPr="00D12E3D">
        <w:rPr>
          <w:rFonts w:asciiTheme="minorHAnsi" w:eastAsia="Times New Roman" w:hAnsiTheme="minorHAnsi" w:cstheme="minorHAnsi"/>
          <w:b/>
          <w:bCs/>
          <w:color w:val="404040"/>
          <w:spacing w:val="2"/>
          <w:kern w:val="0"/>
          <w:lang w:eastAsia="cs-CZ"/>
          <w14:ligatures w14:val="none"/>
        </w:rPr>
        <w:t>23</w:t>
      </w:r>
      <w:r w:rsidRPr="00D12E3D">
        <w:rPr>
          <w:rFonts w:asciiTheme="minorHAnsi" w:eastAsia="Times New Roman" w:hAnsiTheme="minorHAnsi" w:cstheme="minorHAnsi"/>
          <w:color w:val="404040"/>
          <w:spacing w:val="2"/>
          <w:kern w:val="0"/>
          <w:lang w:eastAsia="cs-CZ"/>
          <w14:ligatures w14:val="none"/>
        </w:rPr>
        <w:t> (Strojírenství) a </w:t>
      </w:r>
      <w:r w:rsidRPr="00D12E3D">
        <w:rPr>
          <w:rFonts w:asciiTheme="minorHAnsi" w:eastAsia="Times New Roman" w:hAnsiTheme="minorHAnsi" w:cstheme="minorHAnsi"/>
          <w:b/>
          <w:bCs/>
          <w:color w:val="404040"/>
          <w:spacing w:val="2"/>
          <w:kern w:val="0"/>
          <w:lang w:eastAsia="cs-CZ"/>
          <w14:ligatures w14:val="none"/>
        </w:rPr>
        <w:t>66</w:t>
      </w:r>
      <w:r w:rsidRPr="00D12E3D">
        <w:rPr>
          <w:rFonts w:asciiTheme="minorHAnsi" w:eastAsia="Times New Roman" w:hAnsiTheme="minorHAnsi" w:cstheme="minorHAnsi"/>
          <w:color w:val="404040"/>
          <w:spacing w:val="2"/>
          <w:kern w:val="0"/>
          <w:lang w:eastAsia="cs-CZ"/>
          <w14:ligatures w14:val="none"/>
        </w:rPr>
        <w:t> (Obchod), konkrétně v kategorii vzdělání M, rovněž nevyžadují zvláštní zdravotní požadavky.</w:t>
      </w:r>
    </w:p>
    <w:p w14:paraId="75A1993D" w14:textId="77777777" w:rsidR="00D12E3D" w:rsidRPr="00D12E3D" w:rsidRDefault="00D12E3D" w:rsidP="00D12E3D">
      <w:pPr>
        <w:shd w:val="clear" w:color="auto" w:fill="F8FAFC"/>
        <w:spacing w:before="225" w:after="225"/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color w:val="404040"/>
          <w:kern w:val="0"/>
          <w:lang w:eastAsia="cs-CZ"/>
          <w14:ligatures w14:val="none"/>
        </w:rPr>
        <w:t>Pokud je v letošním roce u některých oborů požadován lékařský posudek neoprávněně, nesmí jeho nepředložení vést k vyloučení uchazeče z řízení. V takovém případě musí uchazeč pokračovat v přijímacím řízení až do závěrečného rozhodnutí. Nepřijetí uchazeče z důvodu absence tohoto posudku může být následně důvodem pro přijetí v rámci odvolacího nebo přezkumného řízení.</w:t>
      </w:r>
    </w:p>
    <w:p w14:paraId="5380C01B" w14:textId="77777777" w:rsidR="00D12E3D" w:rsidRPr="00D12E3D" w:rsidRDefault="00D12E3D" w:rsidP="00D12E3D">
      <w:pPr>
        <w:shd w:val="clear" w:color="auto" w:fill="EEF3F8"/>
        <w:spacing w:before="225" w:after="225" w:line="420" w:lineRule="atLeast"/>
        <w:jc w:val="both"/>
        <w:rPr>
          <w:rFonts w:asciiTheme="minorHAnsi" w:eastAsia="Times New Roman" w:hAnsiTheme="minorHAnsi" w:cstheme="minorHAnsi"/>
          <w:color w:val="404040"/>
          <w:spacing w:val="2"/>
          <w:kern w:val="0"/>
          <w:lang w:eastAsia="cs-CZ"/>
          <w14:ligatures w14:val="none"/>
        </w:rPr>
      </w:pPr>
      <w:r w:rsidRPr="00D12E3D">
        <w:rPr>
          <w:rFonts w:asciiTheme="minorHAnsi" w:eastAsia="Times New Roman" w:hAnsiTheme="minorHAnsi" w:cstheme="minorHAnsi"/>
          <w:b/>
          <w:bCs/>
          <w:color w:val="404040"/>
          <w:spacing w:val="2"/>
          <w:kern w:val="0"/>
          <w:lang w:eastAsia="cs-CZ"/>
          <w14:ligatures w14:val="none"/>
        </w:rPr>
        <w:lastRenderedPageBreak/>
        <w:t>Podrobné informace a metodický materiál k přijímacímu řízení</w:t>
      </w:r>
      <w:r w:rsidRPr="00D12E3D">
        <w:rPr>
          <w:rFonts w:asciiTheme="minorHAnsi" w:eastAsia="Times New Roman" w:hAnsiTheme="minorHAnsi" w:cstheme="minorHAnsi"/>
          <w:color w:val="404040"/>
          <w:spacing w:val="2"/>
          <w:kern w:val="0"/>
          <w:lang w:eastAsia="cs-CZ"/>
          <w14:ligatures w14:val="none"/>
        </w:rPr>
        <w:t> jsou k dispozici na webu MŠMT: </w:t>
      </w:r>
      <w:hyperlink r:id="rId8" w:tgtFrame="_blank" w:history="1">
        <w:r w:rsidRPr="00D12E3D">
          <w:rPr>
            <w:rFonts w:asciiTheme="minorHAnsi" w:eastAsia="Times New Roman" w:hAnsiTheme="minorHAnsi" w:cstheme="minorHAnsi"/>
            <w:color w:val="2463EB"/>
            <w:spacing w:val="2"/>
            <w:kern w:val="0"/>
            <w:u w:val="single"/>
            <w:lang w:eastAsia="cs-CZ"/>
            <w14:ligatures w14:val="none"/>
          </w:rPr>
          <w:t>https://www.msmt.cz/vzdelavani/stredni-vzdelavani/prijimani-na-stredni-skoly-a-konzervatore</w:t>
        </w:r>
      </w:hyperlink>
    </w:p>
    <w:p w14:paraId="48D608B3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39C7"/>
    <w:multiLevelType w:val="multilevel"/>
    <w:tmpl w:val="7C508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AB2C9B"/>
    <w:multiLevelType w:val="multilevel"/>
    <w:tmpl w:val="FC807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9986799">
    <w:abstractNumId w:val="0"/>
  </w:num>
  <w:num w:numId="2" w16cid:durableId="1539079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E3D"/>
    <w:rsid w:val="00393B72"/>
    <w:rsid w:val="005620EA"/>
    <w:rsid w:val="00740067"/>
    <w:rsid w:val="00790712"/>
    <w:rsid w:val="008A5092"/>
    <w:rsid w:val="00D12E3D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435FF"/>
  <w15:chartTrackingRefBased/>
  <w15:docId w15:val="{7F98AD8E-FB6E-47CE-9BF9-782D80FE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D12E3D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12E3D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12E3D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12E3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12E3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12E3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12E3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12E3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12E3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D12E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12E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12E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12E3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12E3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12E3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12E3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12E3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12E3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12E3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12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12E3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12E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12E3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12E3D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12E3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12E3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12E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12E3D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12E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8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360821">
          <w:marLeft w:val="0"/>
          <w:marRight w:val="0"/>
          <w:marTop w:val="0"/>
          <w:marBottom w:val="6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42189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14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73972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2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71281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3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mt.gov.cz/vzdelavani/stredni-vzdelavani/prijimani-na-stredni-skoly-a-konzervator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smt.gov.cz/file/6393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.gov.cz/lekarsky-posudek-u-prijimaciho-rizeni-pripomenuti-podminek-pro-jeho-predkladani/" TargetMode="External"/><Relationship Id="rId5" Type="http://schemas.openxmlformats.org/officeDocument/2006/relationships/hyperlink" Target="https://edu.gov.c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1</cp:revision>
  <dcterms:created xsi:type="dcterms:W3CDTF">2025-04-08T11:44:00Z</dcterms:created>
  <dcterms:modified xsi:type="dcterms:W3CDTF">2025-04-08T11:45:00Z</dcterms:modified>
</cp:coreProperties>
</file>