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A4ABA" w14:textId="77777777" w:rsidR="00514598" w:rsidRPr="00514598" w:rsidRDefault="00514598" w:rsidP="00514598">
      <w:pPr>
        <w:spacing w:after="0"/>
        <w:outlineLvl w:val="0"/>
        <w:rPr>
          <w:rFonts w:asciiTheme="minorHAnsi" w:eastAsia="Times New Roman" w:hAnsiTheme="minorHAnsi" w:cstheme="minorHAnsi"/>
          <w:b/>
          <w:bCs/>
          <w:color w:val="0070C0"/>
          <w:kern w:val="36"/>
          <w:sz w:val="28"/>
          <w:szCs w:val="28"/>
          <w:lang w:eastAsia="cs-CZ"/>
          <w14:ligatures w14:val="none"/>
        </w:rPr>
      </w:pPr>
      <w:r w:rsidRPr="00514598">
        <w:rPr>
          <w:rFonts w:asciiTheme="minorHAnsi" w:eastAsia="Times New Roman" w:hAnsiTheme="minorHAnsi" w:cstheme="minorHAnsi"/>
          <w:b/>
          <w:bCs/>
          <w:color w:val="0070C0"/>
          <w:kern w:val="36"/>
          <w:sz w:val="28"/>
          <w:szCs w:val="28"/>
          <w:lang w:eastAsia="cs-CZ"/>
          <w14:ligatures w14:val="none"/>
        </w:rPr>
        <w:t>Výroční zpráva školy bez chyb a zmatků: jasný návod pro ředitele i zřizovatele</w:t>
      </w:r>
    </w:p>
    <w:p w14:paraId="4F341DB4"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p>
    <w:p w14:paraId="66519B55" w14:textId="6CC15057" w:rsidR="00514598" w:rsidRPr="00514598" w:rsidRDefault="00514598" w:rsidP="00514598">
      <w:pPr>
        <w:spacing w:after="0"/>
        <w:rPr>
          <w:rFonts w:asciiTheme="minorHAnsi" w:eastAsia="Times New Roman" w:hAnsiTheme="minorHAnsi" w:cstheme="minorHAnsi"/>
          <w:b/>
          <w:bCs/>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Obsah</w:t>
      </w:r>
    </w:p>
    <w:p w14:paraId="22C7045A"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VÝROČNÍ ZPRÁVA O ČINNOSTI ŠKOLY PODLE ZÁKONA č. 561/2004 Sb.</w:t>
      </w:r>
    </w:p>
    <w:p w14:paraId="47FEC597"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VÝROČNÍ ZPRÁVA PODLE ZÁKONA č. 106/1999 Sb.</w:t>
      </w:r>
    </w:p>
    <w:p w14:paraId="13EF03FB"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POUŽITÉ ZKRATKY</w:t>
      </w:r>
    </w:p>
    <w:p w14:paraId="1825ECCD"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p>
    <w:p w14:paraId="63C0FCF2"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Správné zpracování výroční zprávy o činnosti školy a výroční zprávy</w:t>
      </w:r>
      <w:r w:rsidRPr="00514598">
        <w:rPr>
          <w:rFonts w:asciiTheme="minorHAnsi" w:eastAsia="Times New Roman" w:hAnsiTheme="minorHAnsi" w:cstheme="minorHAnsi"/>
          <w:color w:val="404040"/>
          <w:kern w:val="0"/>
          <w:lang w:eastAsia="cs-CZ"/>
          <w14:ligatures w14:val="none"/>
        </w:rPr>
        <w:t> podle zákona o svobodném přístupu k informacím vyžaduje jasné rozlišení jejich účelu i obsahu. </w:t>
      </w:r>
      <w:r w:rsidRPr="00514598">
        <w:rPr>
          <w:rFonts w:asciiTheme="minorHAnsi" w:eastAsia="Times New Roman" w:hAnsiTheme="minorHAnsi" w:cstheme="minorHAnsi"/>
          <w:b/>
          <w:bCs/>
          <w:color w:val="404040"/>
          <w:kern w:val="0"/>
          <w:lang w:eastAsia="cs-CZ"/>
          <w14:ligatures w14:val="none"/>
        </w:rPr>
        <w:t>Nová metodika přehledně vysvětluje rozdíly mezi oběma dokumenty, nabízí praktický návod k jejich tvorbě i schválení a upozorňuje na nejčastější chyby</w:t>
      </w:r>
      <w:r w:rsidRPr="00514598">
        <w:rPr>
          <w:rFonts w:asciiTheme="minorHAnsi" w:eastAsia="Times New Roman" w:hAnsiTheme="minorHAnsi" w:cstheme="minorHAnsi"/>
          <w:color w:val="404040"/>
          <w:kern w:val="0"/>
          <w:lang w:eastAsia="cs-CZ"/>
          <w14:ligatures w14:val="none"/>
        </w:rPr>
        <w:t>, kterým se vyhnout. </w:t>
      </w:r>
      <w:r w:rsidRPr="00514598">
        <w:rPr>
          <w:rFonts w:asciiTheme="minorHAnsi" w:eastAsia="Times New Roman" w:hAnsiTheme="minorHAnsi" w:cstheme="minorHAnsi"/>
          <w:i/>
          <w:iCs/>
          <w:color w:val="404040"/>
          <w:kern w:val="0"/>
          <w:lang w:eastAsia="cs-CZ"/>
          <w14:ligatures w14:val="none"/>
        </w:rPr>
        <w:t>Metodiku připravil Střední článek podpory MŠMT.</w:t>
      </w:r>
    </w:p>
    <w:p w14:paraId="7DB4AD6C"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color w:val="404040"/>
          <w:spacing w:val="2"/>
          <w:kern w:val="0"/>
          <w:lang w:eastAsia="cs-CZ"/>
          <w14:ligatures w14:val="none"/>
        </w:rPr>
        <w:t>Metodická příručka je určena především ředitelům škol a školských zařízení, využít ji mohou také zřizovatelé. Vysvětluje rozdíl mezi výroční zprávou o činnosti školy a výroční zprávou dle informačního zákona, poskytuje návod k tvorbě, projednání a zveřejnění výročních zpráv a přináší praktická doporučení. </w:t>
      </w:r>
      <w:r w:rsidRPr="00514598">
        <w:rPr>
          <w:rFonts w:asciiTheme="minorHAnsi" w:eastAsia="Times New Roman" w:hAnsiTheme="minorHAnsi" w:cstheme="minorHAnsi"/>
          <w:b/>
          <w:bCs/>
          <w:color w:val="404040"/>
          <w:spacing w:val="2"/>
          <w:kern w:val="0"/>
          <w:lang w:eastAsia="cs-CZ"/>
          <w14:ligatures w14:val="none"/>
        </w:rPr>
        <w:t>Příručka se člení na dvě části.</w:t>
      </w:r>
      <w:r w:rsidRPr="00514598">
        <w:rPr>
          <w:rFonts w:asciiTheme="minorHAnsi" w:eastAsia="Times New Roman" w:hAnsiTheme="minorHAnsi" w:cstheme="minorHAnsi"/>
          <w:color w:val="404040"/>
          <w:spacing w:val="2"/>
          <w:kern w:val="0"/>
          <w:lang w:eastAsia="cs-CZ"/>
          <w14:ligatures w14:val="none"/>
        </w:rPr>
        <w:t> </w:t>
      </w:r>
      <w:r w:rsidRPr="00514598">
        <w:rPr>
          <w:rFonts w:asciiTheme="minorHAnsi" w:eastAsia="Times New Roman" w:hAnsiTheme="minorHAnsi" w:cstheme="minorHAnsi"/>
          <w:b/>
          <w:bCs/>
          <w:color w:val="404040"/>
          <w:spacing w:val="2"/>
          <w:kern w:val="0"/>
          <w:lang w:eastAsia="cs-CZ"/>
          <w14:ligatures w14:val="none"/>
        </w:rPr>
        <w:t>První se týká výroční zprávy o činnosti školy</w:t>
      </w:r>
      <w:r w:rsidRPr="00514598">
        <w:rPr>
          <w:rFonts w:asciiTheme="minorHAnsi" w:eastAsia="Times New Roman" w:hAnsiTheme="minorHAnsi" w:cstheme="minorHAnsi"/>
          <w:color w:val="404040"/>
          <w:spacing w:val="2"/>
          <w:kern w:val="0"/>
          <w:lang w:eastAsia="cs-CZ"/>
          <w14:ligatures w14:val="none"/>
        </w:rPr>
        <w:t>, kterou podle školského zákona zpracovávají všechny ZŠ, SŠ, konzervatoře a VOŠ. </w:t>
      </w:r>
      <w:r w:rsidRPr="00514598">
        <w:rPr>
          <w:rFonts w:asciiTheme="minorHAnsi" w:eastAsia="Times New Roman" w:hAnsiTheme="minorHAnsi" w:cstheme="minorHAnsi"/>
          <w:b/>
          <w:bCs/>
          <w:color w:val="404040"/>
          <w:spacing w:val="2"/>
          <w:kern w:val="0"/>
          <w:lang w:eastAsia="cs-CZ"/>
          <w14:ligatures w14:val="none"/>
        </w:rPr>
        <w:t>Druhá část se týká výroční zprávy</w:t>
      </w:r>
      <w:r w:rsidRPr="00514598">
        <w:rPr>
          <w:rFonts w:asciiTheme="minorHAnsi" w:eastAsia="Times New Roman" w:hAnsiTheme="minorHAnsi" w:cstheme="minorHAnsi"/>
          <w:color w:val="404040"/>
          <w:spacing w:val="2"/>
          <w:kern w:val="0"/>
          <w:lang w:eastAsia="cs-CZ"/>
          <w14:ligatures w14:val="none"/>
        </w:rPr>
        <w:t>, kterou podle informačního zákona zpracovávají všechny druhy škol a školských zařízení.</w:t>
      </w:r>
    </w:p>
    <w:p w14:paraId="71A1E44B" w14:textId="77777777" w:rsidR="00514598" w:rsidRDefault="00514598" w:rsidP="00514598">
      <w:pPr>
        <w:spacing w:after="0"/>
        <w:outlineLvl w:val="1"/>
        <w:rPr>
          <w:rFonts w:asciiTheme="minorHAnsi" w:eastAsia="Times New Roman" w:hAnsiTheme="minorHAnsi" w:cstheme="minorHAnsi"/>
          <w:b/>
          <w:bCs/>
          <w:color w:val="404040"/>
          <w:kern w:val="0"/>
          <w:lang w:eastAsia="cs-CZ"/>
          <w14:ligatures w14:val="none"/>
        </w:rPr>
      </w:pPr>
    </w:p>
    <w:p w14:paraId="176DFC73" w14:textId="2D74B71F" w:rsidR="00514598" w:rsidRPr="00514598" w:rsidRDefault="00514598" w:rsidP="00514598">
      <w:pPr>
        <w:spacing w:after="0"/>
        <w:outlineLvl w:val="1"/>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VÝROČNÍ ZPRÁVA O ČINNOSTI ŠKOLY PODLE ZÁKONA č. 561/2004 Sb.</w:t>
      </w:r>
    </w:p>
    <w:p w14:paraId="717A9720"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(Informace pro ZŠ, SŠ, konzervatoře a VOŠ)</w:t>
      </w:r>
    </w:p>
    <w:p w14:paraId="07048E2E"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54CF2F62"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Povinnost zpracovávat výroční zprávu o činnosti školy mají ředitelé ZŠ, SŠ, konzervatoří a VOŠ. Výroční zpráva o činnosti školy se zpracovává za období předcházejícího školního roku, s výjimkou základních údajů o hospodaření školy, které se uvádějí za předchozí kalendářní rok.</w:t>
      </w:r>
      <w:r w:rsidRPr="00514598">
        <w:rPr>
          <w:rFonts w:asciiTheme="minorHAnsi" w:eastAsia="Times New Roman" w:hAnsiTheme="minorHAnsi" w:cstheme="minorHAnsi"/>
          <w:color w:val="404040"/>
          <w:kern w:val="0"/>
          <w:lang w:eastAsia="cs-CZ"/>
          <w14:ligatures w14:val="none"/>
        </w:rPr>
        <w:br/>
      </w:r>
      <w:hyperlink r:id="rId5" w:tgtFrame="_blank" w:history="1">
        <w:r w:rsidRPr="00514598">
          <w:rPr>
            <w:rFonts w:asciiTheme="minorHAnsi" w:eastAsia="Times New Roman" w:hAnsiTheme="minorHAnsi" w:cstheme="minorHAnsi"/>
            <w:b/>
            <w:bCs/>
            <w:color w:val="2463EB"/>
            <w:kern w:val="0"/>
            <w:lang w:eastAsia="cs-CZ"/>
            <w14:ligatures w14:val="none"/>
          </w:rPr>
          <w:t>§ 10 ŠZ; § 91 odst. 2 ŠZ;</w:t>
        </w:r>
      </w:hyperlink>
      <w:r w:rsidRPr="00514598">
        <w:rPr>
          <w:rFonts w:asciiTheme="minorHAnsi" w:eastAsia="Times New Roman" w:hAnsiTheme="minorHAnsi" w:cstheme="minorHAnsi"/>
          <w:b/>
          <w:bCs/>
          <w:color w:val="404040"/>
          <w:kern w:val="0"/>
          <w:lang w:eastAsia="cs-CZ"/>
          <w14:ligatures w14:val="none"/>
        </w:rPr>
        <w:t> </w:t>
      </w:r>
      <w:hyperlink r:id="rId6" w:tgtFrame="_blank" w:history="1">
        <w:r w:rsidRPr="00514598">
          <w:rPr>
            <w:rFonts w:asciiTheme="minorHAnsi" w:eastAsia="Times New Roman" w:hAnsiTheme="minorHAnsi" w:cstheme="minorHAnsi"/>
            <w:b/>
            <w:bCs/>
            <w:color w:val="2463EB"/>
            <w:kern w:val="0"/>
            <w:lang w:eastAsia="cs-CZ"/>
            <w14:ligatures w14:val="none"/>
          </w:rPr>
          <w:t>§ 7 odst. 2 vyhlášky</w:t>
        </w:r>
      </w:hyperlink>
    </w:p>
    <w:p w14:paraId="2B59B70B"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I</w:t>
      </w:r>
    </w:p>
    <w:p w14:paraId="2BCFDED0"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Ředitelé MŠ, ZUŠ, jazykových škol s právem státní jazykové zkoušky a ředitelé školských zařízení výroční zprávu o činnosti školy nezpracovávají.</w:t>
      </w:r>
    </w:p>
    <w:p w14:paraId="6502BF2E" w14:textId="77777777" w:rsid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p>
    <w:p w14:paraId="60A3A5C8" w14:textId="6AC00EC0" w:rsidR="00514598" w:rsidRPr="00514598" w:rsidRDefault="00514598" w:rsidP="00514598">
      <w:pPr>
        <w:spacing w:after="0"/>
        <w:outlineLvl w:val="2"/>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POSTUP ZPRACOVÁNÍ VÝROČNÍ ZPRÁVY</w:t>
      </w:r>
    </w:p>
    <w:p w14:paraId="011BC9CB"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I</w:t>
      </w:r>
    </w:p>
    <w:p w14:paraId="221925F3"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Za zpracování výroční zprávy zodpovídá ředitel školy. Samotné zpracování je možné delegovat mezi příslušné pracovníky. Školská rada se na samotném zpracování zprávy nepodílí. Východiskem pro zpracování zprávy je vlastní hodnocení školy podle </w:t>
      </w:r>
      <w:hyperlink r:id="rId7" w:tgtFrame="_blank" w:history="1">
        <w:r w:rsidRPr="00514598">
          <w:rPr>
            <w:rFonts w:asciiTheme="minorHAnsi" w:eastAsia="Times New Roman" w:hAnsiTheme="minorHAnsi" w:cstheme="minorHAnsi"/>
            <w:b/>
            <w:bCs/>
            <w:color w:val="2463EB"/>
            <w:kern w:val="0"/>
            <w:lang w:eastAsia="cs-CZ"/>
            <w14:ligatures w14:val="none"/>
          </w:rPr>
          <w:t>§ 12 ŠZ</w:t>
        </w:r>
      </w:hyperlink>
      <w:r w:rsidRPr="00514598">
        <w:rPr>
          <w:rFonts w:asciiTheme="minorHAnsi" w:eastAsia="Times New Roman" w:hAnsiTheme="minorHAnsi" w:cstheme="minorHAnsi"/>
          <w:color w:val="404040"/>
          <w:kern w:val="0"/>
          <w:lang w:eastAsia="cs-CZ"/>
          <w14:ligatures w14:val="none"/>
        </w:rPr>
        <w:t>. Vlastní hodnocení odráží naplňování cílů a zásad vzdělávání podle </w:t>
      </w:r>
      <w:hyperlink r:id="rId8" w:tgtFrame="_blank" w:history="1">
        <w:r w:rsidRPr="00514598">
          <w:rPr>
            <w:rFonts w:asciiTheme="minorHAnsi" w:eastAsia="Times New Roman" w:hAnsiTheme="minorHAnsi" w:cstheme="minorHAnsi"/>
            <w:b/>
            <w:bCs/>
            <w:color w:val="2463EB"/>
            <w:kern w:val="0"/>
            <w:lang w:eastAsia="cs-CZ"/>
            <w14:ligatures w14:val="none"/>
          </w:rPr>
          <w:t>§ 2 ŠZ</w:t>
        </w:r>
      </w:hyperlink>
      <w:r w:rsidRPr="00514598">
        <w:rPr>
          <w:rFonts w:asciiTheme="minorHAnsi" w:eastAsia="Times New Roman" w:hAnsiTheme="minorHAnsi" w:cstheme="minorHAnsi"/>
          <w:color w:val="404040"/>
          <w:kern w:val="0"/>
          <w:lang w:eastAsia="cs-CZ"/>
          <w14:ligatures w14:val="none"/>
        </w:rPr>
        <w:t> a naplňování ŠVP školy.</w:t>
      </w:r>
    </w:p>
    <w:p w14:paraId="36E38D70" w14:textId="77777777" w:rsid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p>
    <w:p w14:paraId="39D18D68" w14:textId="356D22F9" w:rsidR="00514598" w:rsidRPr="00514598" w:rsidRDefault="00514598" w:rsidP="00514598">
      <w:pPr>
        <w:spacing w:after="0"/>
        <w:outlineLvl w:val="2"/>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RÁMCOVÁ STRUKTURA A OBSAH VÝROČNÍ ZPRÁVY</w:t>
      </w:r>
    </w:p>
    <w:p w14:paraId="372AA19E"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7986E97C"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Výroční zpráva o činnosti školy obsahuje tyto povinné údaje:</w:t>
      </w:r>
    </w:p>
    <w:p w14:paraId="47B83800"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základní údaje o škole: název, sídlo, charakteristika školy, zřizovatel školy, údaje o vedení školy, adresa pro dálkový přístup, údaje o školské radě,</w:t>
      </w:r>
    </w:p>
    <w:p w14:paraId="01493EE1"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přehled oborů vzdělání, které škola vyučuje v souladu se zápisem ve školském rejstříku,</w:t>
      </w:r>
    </w:p>
    <w:p w14:paraId="71FE0046"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rámcový popis personálního zabezpečení činnosti školy,</w:t>
      </w:r>
    </w:p>
    <w:p w14:paraId="385D62A9"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údaje o přijímacím řízení nebo o zápisu k povinné školní docházce a následném přijetí do školy,</w:t>
      </w:r>
    </w:p>
    <w:p w14:paraId="719EBBB1"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stručné vyhodnocení naplňování cílů ŠVP,</w:t>
      </w:r>
    </w:p>
    <w:p w14:paraId="71936E62"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údaje o výsledcích vzdělávání žáků podle cílů stanovených vzdělávacími programy a podle poskytovaného stupně vzdělání včetně výsledků závěrečných zkoušek, maturitních zkoušek a absolutorií,</w:t>
      </w:r>
    </w:p>
    <w:p w14:paraId="3FFE93D2"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lastRenderedPageBreak/>
        <w:t>údaje o prevenci sociálně patologických jevů, rizikového chování a zajištění podpory dětí, žáků a studentů se speciálními vzdělávacími potřebami, nadaných, mimořádně nadaných a s nárokem na poskytování jazykové přípravy,</w:t>
      </w:r>
    </w:p>
    <w:p w14:paraId="2479C09F"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údaje o DVPP a odborném rozvoji nepedagogických pracovníků,</w:t>
      </w:r>
    </w:p>
    <w:p w14:paraId="6DDF6BBA"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údaje o aktivitách a prezentaci školy na veřejnosti,</w:t>
      </w:r>
    </w:p>
    <w:p w14:paraId="2F34A1DA"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údaje o výsledcích inspekční činnosti provedené ČŠI,</w:t>
      </w:r>
    </w:p>
    <w:p w14:paraId="1131F599" w14:textId="77777777" w:rsidR="00514598" w:rsidRPr="00514598" w:rsidRDefault="00514598" w:rsidP="00514598">
      <w:pPr>
        <w:numPr>
          <w:ilvl w:val="0"/>
          <w:numId w:val="1"/>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základní údaje o hospodaření školy.</w:t>
      </w:r>
    </w:p>
    <w:p w14:paraId="2565FF35" w14:textId="77777777" w:rsidR="00514598" w:rsidRDefault="00514598" w:rsidP="00514598">
      <w:pPr>
        <w:spacing w:after="0"/>
        <w:rPr>
          <w:rFonts w:asciiTheme="minorHAnsi" w:eastAsia="Times New Roman" w:hAnsiTheme="minorHAnsi" w:cstheme="minorHAnsi"/>
          <w:b/>
          <w:bCs/>
          <w:color w:val="404040"/>
          <w:kern w:val="0"/>
          <w:lang w:eastAsia="cs-CZ"/>
          <w14:ligatures w14:val="none"/>
        </w:rPr>
      </w:pPr>
    </w:p>
    <w:p w14:paraId="44A7BA69" w14:textId="52B5D981" w:rsidR="00514598" w:rsidRPr="00514598" w:rsidRDefault="00514598" w:rsidP="00514598">
      <w:pPr>
        <w:spacing w:after="0"/>
        <w:rPr>
          <w:rFonts w:asciiTheme="minorHAnsi" w:eastAsia="Times New Roman" w:hAnsiTheme="minorHAnsi" w:cstheme="minorHAnsi"/>
          <w:color w:val="404040"/>
          <w:kern w:val="0"/>
          <w:lang w:eastAsia="cs-CZ"/>
          <w14:ligatures w14:val="none"/>
        </w:rPr>
      </w:pPr>
      <w:hyperlink r:id="rId9" w:tgtFrame="_blank" w:history="1">
        <w:r w:rsidRPr="00514598">
          <w:rPr>
            <w:rFonts w:asciiTheme="minorHAnsi" w:eastAsia="Times New Roman" w:hAnsiTheme="minorHAnsi" w:cstheme="minorHAnsi"/>
            <w:b/>
            <w:bCs/>
            <w:color w:val="2463EB"/>
            <w:kern w:val="0"/>
            <w:lang w:eastAsia="cs-CZ"/>
            <w14:ligatures w14:val="none"/>
          </w:rPr>
          <w:t>§ 7 odst. 2 vyhlášky</w:t>
        </w:r>
      </w:hyperlink>
    </w:p>
    <w:p w14:paraId="71A72116"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D</w:t>
      </w:r>
    </w:p>
    <w:p w14:paraId="33AD4C1E"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Ad d)</w:t>
      </w:r>
      <w:r w:rsidRPr="00514598">
        <w:rPr>
          <w:rFonts w:asciiTheme="minorHAnsi" w:eastAsia="Times New Roman" w:hAnsiTheme="minorHAnsi" w:cstheme="minorHAnsi"/>
          <w:color w:val="404040"/>
          <w:kern w:val="0"/>
          <w:lang w:eastAsia="cs-CZ"/>
          <w14:ligatures w14:val="none"/>
        </w:rPr>
        <w:t> Uvedou se údaje z přijímacího řízení či zápisu pořádaných školou, nejedná se o informace o tom, kam byli žáci devátých ročníků přijati ke střednímu vzdělávání.</w:t>
      </w:r>
      <w:r w:rsidRPr="00514598">
        <w:rPr>
          <w:rFonts w:asciiTheme="minorHAnsi" w:eastAsia="Times New Roman" w:hAnsiTheme="minorHAnsi" w:cstheme="minorHAnsi"/>
          <w:color w:val="404040"/>
          <w:kern w:val="0"/>
          <w:lang w:eastAsia="cs-CZ"/>
          <w14:ligatures w14:val="none"/>
        </w:rPr>
        <w:br/>
      </w:r>
      <w:r w:rsidRPr="00514598">
        <w:rPr>
          <w:rFonts w:asciiTheme="minorHAnsi" w:eastAsia="Times New Roman" w:hAnsiTheme="minorHAnsi" w:cstheme="minorHAnsi"/>
          <w:b/>
          <w:bCs/>
          <w:color w:val="404040"/>
          <w:kern w:val="0"/>
          <w:lang w:eastAsia="cs-CZ"/>
          <w14:ligatures w14:val="none"/>
        </w:rPr>
        <w:t>Ad e)</w:t>
      </w:r>
      <w:r w:rsidRPr="00514598">
        <w:rPr>
          <w:rFonts w:asciiTheme="minorHAnsi" w:eastAsia="Times New Roman" w:hAnsiTheme="minorHAnsi" w:cstheme="minorHAnsi"/>
          <w:color w:val="404040"/>
          <w:kern w:val="0"/>
          <w:lang w:eastAsia="cs-CZ"/>
          <w14:ligatures w14:val="none"/>
        </w:rPr>
        <w:t> Vyhodnocením ŠVP se rozumí vyhodnocení souladu rozsahu a obsahu výuky s obsahem ŠVP; soulad formulovaných a využívaných výchovných a vzdělávacích strategií; vyhodnocování dosahovaných výsledků žáků ve vztahu k obsahu ŠVP.</w:t>
      </w:r>
    </w:p>
    <w:p w14:paraId="1A4DEFF2"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I</w:t>
      </w:r>
    </w:p>
    <w:p w14:paraId="3AFAD09C"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Grafická úprava výroční zprávy není právním předpisem stanovena, ředitel grafickou formu volí dle vlastního uvážení. Do zprávy je možno zahrnout také jiné informace nad rámec povinných údajů.</w:t>
      </w:r>
    </w:p>
    <w:p w14:paraId="727487C2" w14:textId="77777777" w:rsid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p>
    <w:p w14:paraId="4321C544" w14:textId="54FC69D2" w:rsidR="00514598" w:rsidRPr="00514598" w:rsidRDefault="00514598" w:rsidP="00514598">
      <w:pPr>
        <w:spacing w:after="0"/>
        <w:outlineLvl w:val="2"/>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PROCES SCHVALOVÁNÍ VÝROČNÍ ZPRÁVY</w:t>
      </w:r>
    </w:p>
    <w:p w14:paraId="01999E52"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7D5B5061"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Vydání výroční zprávy o činnosti školy je podmíněno schválením školskou radou. Ředitel školy je povinen školské radě výroční zprávu předložit ke schválení do 15. října. § 7 odst. 2 vyhlášky</w:t>
      </w:r>
    </w:p>
    <w:p w14:paraId="332799F8"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114A805C"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O schválení výroční zprávy o činnosti školy rozhodne školská rada do 1 měsíce od jejího předložení ředitelem školy. </w:t>
      </w:r>
      <w:hyperlink r:id="rId10" w:tgtFrame="_blank" w:history="1">
        <w:r w:rsidRPr="00514598">
          <w:rPr>
            <w:rFonts w:asciiTheme="minorHAnsi" w:eastAsia="Times New Roman" w:hAnsiTheme="minorHAnsi" w:cstheme="minorHAnsi"/>
            <w:b/>
            <w:bCs/>
            <w:color w:val="2463EB"/>
            <w:kern w:val="0"/>
            <w:lang w:eastAsia="cs-CZ"/>
            <w14:ligatures w14:val="none"/>
          </w:rPr>
          <w:t>§ 168 odst. 3 ŠZ</w:t>
        </w:r>
      </w:hyperlink>
    </w:p>
    <w:p w14:paraId="722B04EA"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77686763"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Pokud školská rada výroční zprávu po předložení neschválí, ředitel školy zprávu školské radě předloží opakovaně ve lhůtě do 1 měsíce. Nového projednání se účastní zřizovatel. Pokud školská rada výroční zprávu neschválí ani v rámci opakovaného projednání, rozhoduje o dalším postupu bez zbytečného odkladu zřizovatel. Stejný postup se uplatní v situaci, kdy školská rada výroční zprávu neprojedná ve lhůtě do 1 měsíce od předložení ředitelem školy. </w:t>
      </w:r>
      <w:hyperlink r:id="rId11" w:tgtFrame="_blank" w:history="1">
        <w:r w:rsidRPr="00514598">
          <w:rPr>
            <w:rFonts w:asciiTheme="minorHAnsi" w:eastAsia="Times New Roman" w:hAnsiTheme="minorHAnsi" w:cstheme="minorHAnsi"/>
            <w:b/>
            <w:bCs/>
            <w:color w:val="2463EB"/>
            <w:kern w:val="0"/>
            <w:lang w:eastAsia="cs-CZ"/>
            <w14:ligatures w14:val="none"/>
          </w:rPr>
          <w:t>§ 168 odst. 3 ŠZ</w:t>
        </w:r>
      </w:hyperlink>
    </w:p>
    <w:p w14:paraId="7B532DD5"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411241BC"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Předseda školské rady má povinnost svolat zasedání školské rady tak, aby mohla být dodržena lhůta 1 měsíce pro projednání výroční zprávy. V případě, že se školská rada sejde na zasedání ve výše uvedené lhůtě a je usnášeníschopná, může výroční zprávu schválit.</w:t>
      </w:r>
    </w:p>
    <w:p w14:paraId="74709ECA"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D</w:t>
      </w:r>
    </w:p>
    <w:p w14:paraId="1F888EE4"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Aby měli členové školské rady dostatečný prostor na seznámení se s obsahem výroční zprávy, je vhodné zprávu členům školské rady zaslat ještě před samotným zasedáním.</w:t>
      </w:r>
    </w:p>
    <w:p w14:paraId="56E84683" w14:textId="77777777" w:rsid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p>
    <w:p w14:paraId="54DE7CB2" w14:textId="7B8921F2" w:rsidR="00514598" w:rsidRPr="00514598" w:rsidRDefault="00514598" w:rsidP="00514598">
      <w:pPr>
        <w:spacing w:after="0"/>
        <w:outlineLvl w:val="2"/>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MOŽNÉ SITUACE V PROCESU SCHVALOVÁNÍ</w:t>
      </w:r>
    </w:p>
    <w:p w14:paraId="76629785"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Školská rada výroční zprávu schválí:</w:t>
      </w:r>
    </w:p>
    <w:p w14:paraId="3F5BC7DF" w14:textId="77777777" w:rsidR="00514598" w:rsidRPr="00514598" w:rsidRDefault="00514598" w:rsidP="00514598">
      <w:pPr>
        <w:numPr>
          <w:ilvl w:val="0"/>
          <w:numId w:val="2"/>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výroční zpráva musí být do 14 dní zaslána zřizovateli a zveřejněna na veřejně přístupném místě ve škole.</w:t>
      </w:r>
    </w:p>
    <w:p w14:paraId="3F0F87E9"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Školská rada výroční zprávu neschválí:</w:t>
      </w:r>
    </w:p>
    <w:p w14:paraId="51DDBD93" w14:textId="77777777" w:rsidR="00514598" w:rsidRPr="00514598" w:rsidRDefault="00514598" w:rsidP="00514598">
      <w:pPr>
        <w:numPr>
          <w:ilvl w:val="0"/>
          <w:numId w:val="3"/>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školská rada by měla (přestože jí to právní předpis výslovně neukládá) uvést konkrétní výhrady, pro které zprávu neschválila, aby se ředitel školy mohl s výhradami následně vypořádat,</w:t>
      </w:r>
    </w:p>
    <w:p w14:paraId="42BE98A1" w14:textId="77777777" w:rsidR="00514598" w:rsidRPr="00514598" w:rsidRDefault="00514598" w:rsidP="00514598">
      <w:pPr>
        <w:numPr>
          <w:ilvl w:val="0"/>
          <w:numId w:val="3"/>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ředitel školy předloží zprávu školské radě k novému projednání do 1 měsíce ode dne jejího prvního projednání,</w:t>
      </w:r>
    </w:p>
    <w:p w14:paraId="24F2255E" w14:textId="77777777" w:rsidR="00514598" w:rsidRPr="00514598" w:rsidRDefault="00514598" w:rsidP="00514598">
      <w:pPr>
        <w:numPr>
          <w:ilvl w:val="0"/>
          <w:numId w:val="3"/>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způsob a rozsah zapracování výhrad do nového znění zprávy je na uvážení ředitele školy,</w:t>
      </w:r>
    </w:p>
    <w:p w14:paraId="7890488F" w14:textId="77777777" w:rsidR="00514598" w:rsidRPr="00514598" w:rsidRDefault="00514598" w:rsidP="00514598">
      <w:pPr>
        <w:numPr>
          <w:ilvl w:val="0"/>
          <w:numId w:val="3"/>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opakovaného projednání zprávy se vždy zúčastní zřizovatel (jím pověřený zástupce),</w:t>
      </w:r>
    </w:p>
    <w:p w14:paraId="523C85BE" w14:textId="77777777" w:rsidR="00514598" w:rsidRPr="00514598" w:rsidRDefault="00514598" w:rsidP="00514598">
      <w:pPr>
        <w:numPr>
          <w:ilvl w:val="0"/>
          <w:numId w:val="3"/>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lastRenderedPageBreak/>
        <w:t>nebude-li zpráva školskou radou schválena ani při opakovaném projednání, je zřizovatel povinen bez zbytečného odkladu rozhodnout o dalším postupu,</w:t>
      </w:r>
    </w:p>
    <w:p w14:paraId="76E3A429" w14:textId="77777777" w:rsidR="00514598" w:rsidRPr="00514598" w:rsidRDefault="00514598" w:rsidP="00514598">
      <w:pPr>
        <w:numPr>
          <w:ilvl w:val="0"/>
          <w:numId w:val="3"/>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zřizovatel může rozhodnout takto:</w:t>
      </w:r>
      <w:r w:rsidRPr="00514598">
        <w:rPr>
          <w:rFonts w:asciiTheme="minorHAnsi" w:eastAsia="Times New Roman" w:hAnsiTheme="minorHAnsi" w:cstheme="minorHAnsi"/>
          <w:color w:val="404040"/>
          <w:kern w:val="0"/>
          <w:lang w:eastAsia="cs-CZ"/>
          <w14:ligatures w14:val="none"/>
        </w:rPr>
        <w:br/>
        <w:t>◦ zpráva bude platit ve znění navrženém ředitelem školy;</w:t>
      </w:r>
      <w:r w:rsidRPr="00514598">
        <w:rPr>
          <w:rFonts w:asciiTheme="minorHAnsi" w:eastAsia="Times New Roman" w:hAnsiTheme="minorHAnsi" w:cstheme="minorHAnsi"/>
          <w:color w:val="404040"/>
          <w:kern w:val="0"/>
          <w:lang w:eastAsia="cs-CZ"/>
          <w14:ligatures w14:val="none"/>
        </w:rPr>
        <w:br/>
        <w:t>◦ ředitel školy výhrady školské rady v plném či částečném rozsahu akceptuje;</w:t>
      </w:r>
      <w:r w:rsidRPr="00514598">
        <w:rPr>
          <w:rFonts w:asciiTheme="minorHAnsi" w:eastAsia="Times New Roman" w:hAnsiTheme="minorHAnsi" w:cstheme="minorHAnsi"/>
          <w:color w:val="404040"/>
          <w:kern w:val="0"/>
          <w:lang w:eastAsia="cs-CZ"/>
          <w14:ligatures w14:val="none"/>
        </w:rPr>
        <w:br/>
        <w:t>◦ nařídí další projednání zprávy ve školské radě.</w:t>
      </w:r>
    </w:p>
    <w:p w14:paraId="161DA671"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Školská rada se k projednání nesejde/není usnášeníschopná:</w:t>
      </w:r>
    </w:p>
    <w:p w14:paraId="0A87061C" w14:textId="77777777" w:rsidR="00514598" w:rsidRPr="00514598" w:rsidRDefault="00514598" w:rsidP="00514598">
      <w:pPr>
        <w:numPr>
          <w:ilvl w:val="0"/>
          <w:numId w:val="4"/>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o dalším postupu rozhodne zřizovatel,</w:t>
      </w:r>
    </w:p>
    <w:p w14:paraId="79021777" w14:textId="77777777" w:rsidR="00514598" w:rsidRPr="00514598" w:rsidRDefault="00514598" w:rsidP="00514598">
      <w:pPr>
        <w:numPr>
          <w:ilvl w:val="0"/>
          <w:numId w:val="4"/>
        </w:numPr>
        <w:spacing w:after="0"/>
        <w:ind w:left="96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ředitel školy výroční zprávu školské radě znovu nepředkládá.</w:t>
      </w:r>
    </w:p>
    <w:p w14:paraId="39757B6D" w14:textId="77777777" w:rsid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p>
    <w:p w14:paraId="604B3261" w14:textId="27E5E456" w:rsidR="00514598" w:rsidRPr="00514598" w:rsidRDefault="00514598" w:rsidP="00514598">
      <w:pPr>
        <w:spacing w:after="0"/>
        <w:outlineLvl w:val="2"/>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ZVEŘEJNĚNÍ VÝROČNÍ ZPRÁVY O ČINNOSTI ŠKOLY</w:t>
      </w:r>
    </w:p>
    <w:p w14:paraId="3FD8A0B5"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749A280D"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Výroční zpráva o činnosti školy je součástí povinné dokumentace školy. Ředitel školy zasílá výroční zprávu zřizovateli a zveřejňuje ji na přístupném místě ve škole a způsobem umožňujícím dálkový přístup. Do výroční zprávy může každý nahlížet a pořizovat si z ní opisy a výpisy, anebo za cenu v místě obvyklou může obdržet její kopii. </w:t>
      </w:r>
      <w:hyperlink r:id="rId12" w:tgtFrame="_blank" w:history="1">
        <w:r w:rsidRPr="00514598">
          <w:rPr>
            <w:rFonts w:asciiTheme="minorHAnsi" w:eastAsia="Times New Roman" w:hAnsiTheme="minorHAnsi" w:cstheme="minorHAnsi"/>
            <w:b/>
            <w:bCs/>
            <w:color w:val="2463EB"/>
            <w:kern w:val="0"/>
            <w:lang w:eastAsia="cs-CZ"/>
            <w14:ligatures w14:val="none"/>
          </w:rPr>
          <w:t>§ 10 odst. 3 ŠZ;</w:t>
        </w:r>
      </w:hyperlink>
      <w:r w:rsidRPr="00514598">
        <w:rPr>
          <w:rFonts w:asciiTheme="minorHAnsi" w:eastAsia="Times New Roman" w:hAnsiTheme="minorHAnsi" w:cstheme="minorHAnsi"/>
          <w:color w:val="404040"/>
          <w:kern w:val="0"/>
          <w:lang w:eastAsia="cs-CZ"/>
          <w14:ligatures w14:val="none"/>
        </w:rPr>
        <w:t> </w:t>
      </w:r>
      <w:hyperlink r:id="rId13" w:tgtFrame="_blank" w:history="1">
        <w:r w:rsidRPr="00514598">
          <w:rPr>
            <w:rFonts w:asciiTheme="minorHAnsi" w:eastAsia="Times New Roman" w:hAnsiTheme="minorHAnsi" w:cstheme="minorHAnsi"/>
            <w:b/>
            <w:bCs/>
            <w:color w:val="2463EB"/>
            <w:kern w:val="0"/>
            <w:lang w:eastAsia="cs-CZ"/>
            <w14:ligatures w14:val="none"/>
          </w:rPr>
          <w:t xml:space="preserve">§ 5 odst. 1 písm. f) a odst. 4 </w:t>
        </w:r>
        <w:proofErr w:type="spellStart"/>
        <w:r w:rsidRPr="00514598">
          <w:rPr>
            <w:rFonts w:asciiTheme="minorHAnsi" w:eastAsia="Times New Roman" w:hAnsiTheme="minorHAnsi" w:cstheme="minorHAnsi"/>
            <w:b/>
            <w:bCs/>
            <w:color w:val="2463EB"/>
            <w:kern w:val="0"/>
            <w:lang w:eastAsia="cs-CZ"/>
            <w14:ligatures w14:val="none"/>
          </w:rPr>
          <w:t>InfZ</w:t>
        </w:r>
        <w:proofErr w:type="spellEnd"/>
      </w:hyperlink>
    </w:p>
    <w:p w14:paraId="58FF74EE"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I</w:t>
      </w:r>
    </w:p>
    <w:p w14:paraId="5B35B230"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Přístupným místem se rozumí místo, na kterém lze do výroční zprávy kdykoliv nahlédnout (během běžného provozu školy).</w:t>
      </w:r>
    </w:p>
    <w:p w14:paraId="3601D293"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I</w:t>
      </w:r>
    </w:p>
    <w:p w14:paraId="7EF823E5"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Jelikož je do výroční zprávy o činnosti školy začleněna výroční zpráva podle informačního zákona, je nutno zveřejnit výroční zprávu o činnosti školy nejenom na veřejně přístupném místě, jak určuje školský zákon, ale také na webových stránkách školy (tedy způsobem umožňující dálkový přístup), dle ustanovení informačního zákona.</w:t>
      </w:r>
    </w:p>
    <w:p w14:paraId="696D6CF5" w14:textId="77777777" w:rsidR="00514598" w:rsidRDefault="00514598" w:rsidP="00514598">
      <w:pPr>
        <w:spacing w:after="0"/>
        <w:outlineLvl w:val="1"/>
        <w:rPr>
          <w:rFonts w:asciiTheme="minorHAnsi" w:eastAsia="Times New Roman" w:hAnsiTheme="minorHAnsi" w:cstheme="minorHAnsi"/>
          <w:b/>
          <w:bCs/>
          <w:color w:val="404040"/>
          <w:kern w:val="0"/>
          <w:lang w:eastAsia="cs-CZ"/>
          <w14:ligatures w14:val="none"/>
        </w:rPr>
      </w:pPr>
    </w:p>
    <w:p w14:paraId="108607DF" w14:textId="6B0CE9AC" w:rsidR="00514598" w:rsidRPr="00514598" w:rsidRDefault="00514598" w:rsidP="00514598">
      <w:pPr>
        <w:spacing w:after="0"/>
        <w:outlineLvl w:val="1"/>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VÝROČNÍ ZPRÁVA PODLE ZÁKONA č. 106/1999 Sb.</w:t>
      </w:r>
    </w:p>
    <w:p w14:paraId="00E8BD46"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(Informace pro všechny druhy škol a školských zařízení, a to veřejné, soukromé i církevní)</w:t>
      </w:r>
    </w:p>
    <w:p w14:paraId="003C1235" w14:textId="77777777" w:rsid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p>
    <w:p w14:paraId="7BB1CFF0" w14:textId="25F9EE6A" w:rsidR="00514598" w:rsidRP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OBSAH VÝROČNÍ ZPRÁVY</w:t>
      </w:r>
    </w:p>
    <w:p w14:paraId="6F831C27"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13DBF430"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Výroční zpráva obsahuje tyto povinné údaje:</w:t>
      </w:r>
    </w:p>
    <w:p w14:paraId="78339E31" w14:textId="77777777" w:rsidR="00514598" w:rsidRPr="00514598" w:rsidRDefault="00514598" w:rsidP="00514598">
      <w:pPr>
        <w:numPr>
          <w:ilvl w:val="0"/>
          <w:numId w:val="5"/>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počet podaných žádostí o informace a počet vydaných rozhodnutí o odmítnutí žádosti,</w:t>
      </w:r>
    </w:p>
    <w:p w14:paraId="6F48A5F3" w14:textId="77777777" w:rsidR="00514598" w:rsidRPr="00514598" w:rsidRDefault="00514598" w:rsidP="00514598">
      <w:pPr>
        <w:numPr>
          <w:ilvl w:val="0"/>
          <w:numId w:val="5"/>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počet podaných odvolání proti rozhodnutí,</w:t>
      </w:r>
    </w:p>
    <w:p w14:paraId="511347B3" w14:textId="77777777" w:rsidR="00514598" w:rsidRPr="00514598" w:rsidRDefault="00514598" w:rsidP="00514598">
      <w:pPr>
        <w:numPr>
          <w:ilvl w:val="0"/>
          <w:numId w:val="5"/>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popis podstatných částí každého rozsudku soudu ve věci přezkoumání zákonnosti rozhodnutí povinného subjektu o odmítnutí žádosti o poskytnutí informace a přehled všech výdajů, které povinný subjekt vynaložil v souvislosti se soudními řízeními, o právech a povinnostech podle tohoto zákona, a to včetně nákladů na své vlastní zaměstnance a nákladů na právní zastoupení,</w:t>
      </w:r>
    </w:p>
    <w:p w14:paraId="6BB27192" w14:textId="77777777" w:rsidR="00514598" w:rsidRPr="00514598" w:rsidRDefault="00514598" w:rsidP="00514598">
      <w:pPr>
        <w:numPr>
          <w:ilvl w:val="0"/>
          <w:numId w:val="5"/>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výčet poskytnutých výhradních licencí, včetně odůvodnění nezbytnosti poskytnutí výhradní licence,</w:t>
      </w:r>
    </w:p>
    <w:p w14:paraId="37BBDC2F" w14:textId="77777777" w:rsidR="00514598" w:rsidRPr="00514598" w:rsidRDefault="00514598" w:rsidP="00514598">
      <w:pPr>
        <w:numPr>
          <w:ilvl w:val="0"/>
          <w:numId w:val="5"/>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počet stížností podaných podle </w:t>
      </w:r>
      <w:hyperlink r:id="rId14" w:tgtFrame="_blank" w:history="1">
        <w:r w:rsidRPr="00514598">
          <w:rPr>
            <w:rFonts w:asciiTheme="minorHAnsi" w:eastAsia="Times New Roman" w:hAnsiTheme="minorHAnsi" w:cstheme="minorHAnsi"/>
            <w:b/>
            <w:bCs/>
            <w:color w:val="2463EB"/>
            <w:kern w:val="0"/>
            <w:lang w:eastAsia="cs-CZ"/>
            <w14:ligatures w14:val="none"/>
          </w:rPr>
          <w:t>§ 16a</w:t>
        </w:r>
      </w:hyperlink>
      <w:r w:rsidRPr="00514598">
        <w:rPr>
          <w:rFonts w:asciiTheme="minorHAnsi" w:eastAsia="Times New Roman" w:hAnsiTheme="minorHAnsi" w:cstheme="minorHAnsi"/>
          <w:color w:val="404040"/>
          <w:kern w:val="0"/>
          <w:lang w:eastAsia="cs-CZ"/>
          <w14:ligatures w14:val="none"/>
        </w:rPr>
        <w:t>, důvody jejich podání a stručný popis způsobu jejich vyřízení,</w:t>
      </w:r>
    </w:p>
    <w:p w14:paraId="3CFAD183" w14:textId="77777777" w:rsidR="00514598" w:rsidRPr="00514598" w:rsidRDefault="00514598" w:rsidP="00514598">
      <w:pPr>
        <w:numPr>
          <w:ilvl w:val="0"/>
          <w:numId w:val="5"/>
        </w:num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 xml:space="preserve">další informace vztahující se k uplatňování </w:t>
      </w:r>
      <w:proofErr w:type="spellStart"/>
      <w:r w:rsidRPr="00514598">
        <w:rPr>
          <w:rFonts w:asciiTheme="minorHAnsi" w:eastAsia="Times New Roman" w:hAnsiTheme="minorHAnsi" w:cstheme="minorHAnsi"/>
          <w:color w:val="404040"/>
          <w:kern w:val="0"/>
          <w:lang w:eastAsia="cs-CZ"/>
          <w14:ligatures w14:val="none"/>
        </w:rPr>
        <w:t>InfZ</w:t>
      </w:r>
      <w:proofErr w:type="spellEnd"/>
      <w:r w:rsidRPr="00514598">
        <w:rPr>
          <w:rFonts w:asciiTheme="minorHAnsi" w:eastAsia="Times New Roman" w:hAnsiTheme="minorHAnsi" w:cstheme="minorHAnsi"/>
          <w:color w:val="404040"/>
          <w:kern w:val="0"/>
          <w:lang w:eastAsia="cs-CZ"/>
          <w14:ligatures w14:val="none"/>
        </w:rPr>
        <w:t xml:space="preserve"> (např. postup při vyřizování žádostí, popřípadě se nevyplní).</w:t>
      </w:r>
    </w:p>
    <w:p w14:paraId="7D4471A4"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hyperlink r:id="rId15" w:tgtFrame="_blank" w:history="1">
        <w:r w:rsidRPr="00514598">
          <w:rPr>
            <w:rFonts w:asciiTheme="minorHAnsi" w:eastAsia="Times New Roman" w:hAnsiTheme="minorHAnsi" w:cstheme="minorHAnsi"/>
            <w:b/>
            <w:bCs/>
            <w:color w:val="2463EB"/>
            <w:kern w:val="0"/>
            <w:lang w:eastAsia="cs-CZ"/>
            <w14:ligatures w14:val="none"/>
          </w:rPr>
          <w:t xml:space="preserve">§ 18 odst. 1 </w:t>
        </w:r>
        <w:proofErr w:type="spellStart"/>
        <w:r w:rsidRPr="00514598">
          <w:rPr>
            <w:rFonts w:asciiTheme="minorHAnsi" w:eastAsia="Times New Roman" w:hAnsiTheme="minorHAnsi" w:cstheme="minorHAnsi"/>
            <w:b/>
            <w:bCs/>
            <w:color w:val="2463EB"/>
            <w:kern w:val="0"/>
            <w:lang w:eastAsia="cs-CZ"/>
            <w14:ligatures w14:val="none"/>
          </w:rPr>
          <w:t>InfZ</w:t>
        </w:r>
        <w:proofErr w:type="spellEnd"/>
      </w:hyperlink>
    </w:p>
    <w:p w14:paraId="77AB56A8" w14:textId="77777777" w:rsidR="00514598" w:rsidRDefault="00514598" w:rsidP="00514598">
      <w:pPr>
        <w:spacing w:after="0"/>
        <w:outlineLvl w:val="2"/>
        <w:rPr>
          <w:rFonts w:asciiTheme="minorHAnsi" w:eastAsia="Times New Roman" w:hAnsiTheme="minorHAnsi" w:cstheme="minorHAnsi"/>
          <w:b/>
          <w:bCs/>
          <w:color w:val="404040"/>
          <w:kern w:val="0"/>
          <w:lang w:eastAsia="cs-CZ"/>
          <w14:ligatures w14:val="none"/>
        </w:rPr>
      </w:pPr>
    </w:p>
    <w:p w14:paraId="45C8A5BA" w14:textId="1B93297D" w:rsidR="00514598" w:rsidRPr="00514598" w:rsidRDefault="00514598" w:rsidP="00514598">
      <w:pPr>
        <w:spacing w:after="0"/>
        <w:outlineLvl w:val="2"/>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ZVEŘEJNĚNÍ VÝROČNÍ ZPRÁVY</w:t>
      </w:r>
    </w:p>
    <w:p w14:paraId="3D8AA1DE"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w:t>
      </w:r>
    </w:p>
    <w:p w14:paraId="0A709E90"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 xml:space="preserve">Ředitelé MŠ, ZUŠ, jazykových škol s právem státní jazykové zkoušky a ředitelé školských zařízení musí do 1. března zveřejnit výroční zprávu podle </w:t>
      </w:r>
      <w:proofErr w:type="spellStart"/>
      <w:r w:rsidRPr="00514598">
        <w:rPr>
          <w:rFonts w:asciiTheme="minorHAnsi" w:eastAsia="Times New Roman" w:hAnsiTheme="minorHAnsi" w:cstheme="minorHAnsi"/>
          <w:color w:val="404040"/>
          <w:kern w:val="0"/>
          <w:lang w:eastAsia="cs-CZ"/>
          <w14:ligatures w14:val="none"/>
        </w:rPr>
        <w:t>InfZ</w:t>
      </w:r>
      <w:proofErr w:type="spellEnd"/>
      <w:r w:rsidRPr="00514598">
        <w:rPr>
          <w:rFonts w:asciiTheme="minorHAnsi" w:eastAsia="Times New Roman" w:hAnsiTheme="minorHAnsi" w:cstheme="minorHAnsi"/>
          <w:color w:val="404040"/>
          <w:kern w:val="0"/>
          <w:lang w:eastAsia="cs-CZ"/>
          <w14:ligatures w14:val="none"/>
        </w:rPr>
        <w:t xml:space="preserve"> za předcházející kalendářní rok. A to buď způsobem umožňujícím dálkový přístup a na veřejně přístupném místě v sídle školy, nebo elektronicky prostřednictvím centrálního registru. </w:t>
      </w:r>
      <w:hyperlink r:id="rId16" w:tgtFrame="_blank" w:history="1">
        <w:r w:rsidRPr="00514598">
          <w:rPr>
            <w:rFonts w:asciiTheme="minorHAnsi" w:eastAsia="Times New Roman" w:hAnsiTheme="minorHAnsi" w:cstheme="minorHAnsi"/>
            <w:b/>
            <w:bCs/>
            <w:color w:val="2463EB"/>
            <w:kern w:val="0"/>
            <w:lang w:eastAsia="cs-CZ"/>
            <w14:ligatures w14:val="none"/>
          </w:rPr>
          <w:t xml:space="preserve">§ 18 odst. 1 </w:t>
        </w:r>
        <w:proofErr w:type="spellStart"/>
        <w:r w:rsidRPr="00514598">
          <w:rPr>
            <w:rFonts w:asciiTheme="minorHAnsi" w:eastAsia="Times New Roman" w:hAnsiTheme="minorHAnsi" w:cstheme="minorHAnsi"/>
            <w:b/>
            <w:bCs/>
            <w:color w:val="2463EB"/>
            <w:kern w:val="0"/>
            <w:lang w:eastAsia="cs-CZ"/>
            <w14:ligatures w14:val="none"/>
          </w:rPr>
          <w:t>InfZ</w:t>
        </w:r>
        <w:proofErr w:type="spellEnd"/>
      </w:hyperlink>
    </w:p>
    <w:p w14:paraId="1D7FB6C8"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lastRenderedPageBreak/>
        <w:t>I</w:t>
      </w:r>
    </w:p>
    <w:p w14:paraId="4793E089"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Pro ZŠ, SŠ, konzervatoře a VOŠ platí zvláštní postup: Škola s povinností zpracování výroční zprávy o činnosti školy začlení obsah výroční zprávy podle informačního zákona do výroční zprávy o činnosti školy. Výroční zpráva podle informačního zákona se do výroční zprávy o činnosti školy začlení jako samostatná část s názvem „Poskytování informací podle zákona č. 106/1999 Sb., o svobodném přístupu k informacím“. Výroční zpráva podle informačního zákona tak bude zveřejněna společně s výroční zprávou o činnosti školy způsobem a v termínech určených pro výroční zprávu o činnosti školy dle ŠZ a vyhlášky č. 15/2005 Sb.</w:t>
      </w:r>
    </w:p>
    <w:p w14:paraId="0F19C55C"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I</w:t>
      </w:r>
    </w:p>
    <w:p w14:paraId="6AB508E0"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Výroční zpráva podle informačního zákona se zveřejňuje i v případě, kdy škola žádnou žádost o poskytnutí informace během předcházejícího kalendářního roku neobdržela.</w:t>
      </w:r>
    </w:p>
    <w:p w14:paraId="3E226AE4"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b/>
          <w:bCs/>
          <w:color w:val="404040"/>
          <w:kern w:val="0"/>
          <w:lang w:eastAsia="cs-CZ"/>
          <w14:ligatures w14:val="none"/>
        </w:rPr>
        <w:t>D</w:t>
      </w:r>
    </w:p>
    <w:p w14:paraId="496B8DC9" w14:textId="77777777" w:rsidR="00514598" w:rsidRPr="00514598" w:rsidRDefault="00514598" w:rsidP="00514598">
      <w:pPr>
        <w:spacing w:after="0"/>
        <w:rPr>
          <w:rFonts w:asciiTheme="minorHAnsi" w:eastAsia="Times New Roman" w:hAnsiTheme="minorHAnsi" w:cstheme="minorHAnsi"/>
          <w:color w:val="404040"/>
          <w:kern w:val="0"/>
          <w:lang w:eastAsia="cs-CZ"/>
          <w14:ligatures w14:val="none"/>
        </w:rPr>
      </w:pPr>
      <w:r w:rsidRPr="00514598">
        <w:rPr>
          <w:rFonts w:asciiTheme="minorHAnsi" w:eastAsia="Times New Roman" w:hAnsiTheme="minorHAnsi" w:cstheme="minorHAnsi"/>
          <w:color w:val="404040"/>
          <w:kern w:val="0"/>
          <w:lang w:eastAsia="cs-CZ"/>
          <w14:ligatures w14:val="none"/>
        </w:rPr>
        <w:t>Doporučujeme MŠ, ZUŠ, jazykovým školám a školským zařízením zveřejňovat výroční zprávu podle informačního zákona elektronicky v registru. Způsob zadání do registru je velmi jednoduchý a usnadní celý proces. Instrukce a formulář naleznete zde: </w:t>
      </w:r>
      <w:hyperlink r:id="rId17" w:tgtFrame="_blank" w:history="1">
        <w:r w:rsidRPr="00514598">
          <w:rPr>
            <w:rFonts w:asciiTheme="minorHAnsi" w:eastAsia="Times New Roman" w:hAnsiTheme="minorHAnsi" w:cstheme="minorHAnsi"/>
            <w:b/>
            <w:bCs/>
            <w:color w:val="2463EB"/>
            <w:kern w:val="0"/>
            <w:lang w:eastAsia="cs-CZ"/>
            <w14:ligatures w14:val="none"/>
          </w:rPr>
          <w:t>https://portal.gov.cz/kam-dal/pro-urady-ovm/centralni-registr-vyrocnich-zprav</w:t>
        </w:r>
      </w:hyperlink>
    </w:p>
    <w:p w14:paraId="3FFA364E" w14:textId="77777777" w:rsidR="00514598" w:rsidRDefault="00514598" w:rsidP="00514598">
      <w:pPr>
        <w:spacing w:after="0"/>
        <w:outlineLvl w:val="1"/>
        <w:rPr>
          <w:rFonts w:asciiTheme="minorHAnsi" w:eastAsia="Times New Roman" w:hAnsiTheme="minorHAnsi" w:cstheme="minorHAnsi"/>
          <w:b/>
          <w:bCs/>
          <w:color w:val="404040"/>
          <w:kern w:val="0"/>
          <w:lang w:eastAsia="cs-CZ"/>
          <w14:ligatures w14:val="none"/>
        </w:rPr>
      </w:pPr>
    </w:p>
    <w:p w14:paraId="3E2B3382" w14:textId="032866BE" w:rsidR="00514598" w:rsidRPr="00514598" w:rsidRDefault="00514598" w:rsidP="00514598">
      <w:pPr>
        <w:spacing w:after="0"/>
        <w:outlineLvl w:val="1"/>
        <w:rPr>
          <w:rFonts w:asciiTheme="minorHAnsi" w:eastAsia="Times New Roman" w:hAnsiTheme="minorHAnsi" w:cstheme="minorHAnsi"/>
          <w:b/>
          <w:bCs/>
          <w:color w:val="0070C0"/>
          <w:kern w:val="0"/>
          <w:lang w:eastAsia="cs-CZ"/>
          <w14:ligatures w14:val="none"/>
        </w:rPr>
      </w:pPr>
      <w:r w:rsidRPr="00514598">
        <w:rPr>
          <w:rFonts w:asciiTheme="minorHAnsi" w:eastAsia="Times New Roman" w:hAnsiTheme="minorHAnsi" w:cstheme="minorHAnsi"/>
          <w:b/>
          <w:bCs/>
          <w:color w:val="0070C0"/>
          <w:kern w:val="0"/>
          <w:lang w:eastAsia="cs-CZ"/>
          <w14:ligatures w14:val="none"/>
        </w:rPr>
        <w:t>POUŽITÉ ZKRATKY</w:t>
      </w:r>
    </w:p>
    <w:p w14:paraId="1A63D3C0"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proofErr w:type="spellStart"/>
      <w:r w:rsidRPr="00514598">
        <w:rPr>
          <w:rFonts w:asciiTheme="minorHAnsi" w:eastAsia="Times New Roman" w:hAnsiTheme="minorHAnsi" w:cstheme="minorHAnsi"/>
          <w:b/>
          <w:bCs/>
          <w:color w:val="404040"/>
          <w:spacing w:val="2"/>
          <w:kern w:val="0"/>
          <w:lang w:eastAsia="cs-CZ"/>
          <w14:ligatures w14:val="none"/>
        </w:rPr>
        <w:t>InfZ</w:t>
      </w:r>
      <w:proofErr w:type="spellEnd"/>
      <w:r w:rsidRPr="00514598">
        <w:rPr>
          <w:rFonts w:asciiTheme="minorHAnsi" w:eastAsia="Times New Roman" w:hAnsiTheme="minorHAnsi" w:cstheme="minorHAnsi"/>
          <w:b/>
          <w:bCs/>
          <w:color w:val="404040"/>
          <w:spacing w:val="2"/>
          <w:kern w:val="0"/>
          <w:lang w:eastAsia="cs-CZ"/>
          <w14:ligatures w14:val="none"/>
        </w:rPr>
        <w:t>, informační zákon</w:t>
      </w:r>
      <w:r w:rsidRPr="00514598">
        <w:rPr>
          <w:rFonts w:asciiTheme="minorHAnsi" w:eastAsia="Times New Roman" w:hAnsiTheme="minorHAnsi" w:cstheme="minorHAnsi"/>
          <w:color w:val="404040"/>
          <w:spacing w:val="2"/>
          <w:kern w:val="0"/>
          <w:lang w:eastAsia="cs-CZ"/>
          <w14:ligatures w14:val="none"/>
        </w:rPr>
        <w:t> – zákon č. 106/1999 Sb., zákon o svobodném přístupu k informacím</w:t>
      </w:r>
    </w:p>
    <w:p w14:paraId="02BF3835"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Škola</w:t>
      </w:r>
      <w:r w:rsidRPr="00514598">
        <w:rPr>
          <w:rFonts w:asciiTheme="minorHAnsi" w:eastAsia="Times New Roman" w:hAnsiTheme="minorHAnsi" w:cstheme="minorHAnsi"/>
          <w:color w:val="404040"/>
          <w:spacing w:val="2"/>
          <w:kern w:val="0"/>
          <w:lang w:eastAsia="cs-CZ"/>
          <w14:ligatures w14:val="none"/>
        </w:rPr>
        <w:t> – právnická osoba vykonávající činnost školy nebo školského zařízení</w:t>
      </w:r>
    </w:p>
    <w:p w14:paraId="7CDBF95B"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SŠ</w:t>
      </w:r>
      <w:r w:rsidRPr="00514598">
        <w:rPr>
          <w:rFonts w:asciiTheme="minorHAnsi" w:eastAsia="Times New Roman" w:hAnsiTheme="minorHAnsi" w:cstheme="minorHAnsi"/>
          <w:color w:val="404040"/>
          <w:spacing w:val="2"/>
          <w:kern w:val="0"/>
          <w:lang w:eastAsia="cs-CZ"/>
          <w14:ligatures w14:val="none"/>
        </w:rPr>
        <w:t> – střední školy</w:t>
      </w:r>
    </w:p>
    <w:p w14:paraId="1DFA096E"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ŠVP</w:t>
      </w:r>
      <w:r w:rsidRPr="00514598">
        <w:rPr>
          <w:rFonts w:asciiTheme="minorHAnsi" w:eastAsia="Times New Roman" w:hAnsiTheme="minorHAnsi" w:cstheme="minorHAnsi"/>
          <w:color w:val="404040"/>
          <w:spacing w:val="2"/>
          <w:kern w:val="0"/>
          <w:lang w:eastAsia="cs-CZ"/>
          <w14:ligatures w14:val="none"/>
        </w:rPr>
        <w:t> – školský vzdělávací program</w:t>
      </w:r>
    </w:p>
    <w:p w14:paraId="1C4884A0"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ŠZ</w:t>
      </w:r>
      <w:r w:rsidRPr="00514598">
        <w:rPr>
          <w:rFonts w:asciiTheme="minorHAnsi" w:eastAsia="Times New Roman" w:hAnsiTheme="minorHAnsi" w:cstheme="minorHAnsi"/>
          <w:color w:val="404040"/>
          <w:spacing w:val="2"/>
          <w:kern w:val="0"/>
          <w:lang w:eastAsia="cs-CZ"/>
          <w14:ligatures w14:val="none"/>
        </w:rPr>
        <w:t> – zákon č. 561/2004 Sb., o předškolním, základním, středním, vyšším odborném a jiném vzdělávání (školský zákon)</w:t>
      </w:r>
    </w:p>
    <w:p w14:paraId="2514A26D"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VOŠ</w:t>
      </w:r>
      <w:r w:rsidRPr="00514598">
        <w:rPr>
          <w:rFonts w:asciiTheme="minorHAnsi" w:eastAsia="Times New Roman" w:hAnsiTheme="minorHAnsi" w:cstheme="minorHAnsi"/>
          <w:color w:val="404040"/>
          <w:spacing w:val="2"/>
          <w:kern w:val="0"/>
          <w:lang w:eastAsia="cs-CZ"/>
          <w14:ligatures w14:val="none"/>
        </w:rPr>
        <w:t> – vyšší odborná škola</w:t>
      </w:r>
    </w:p>
    <w:p w14:paraId="23A80132"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Vyhláška</w:t>
      </w:r>
      <w:r w:rsidRPr="00514598">
        <w:rPr>
          <w:rFonts w:asciiTheme="minorHAnsi" w:eastAsia="Times New Roman" w:hAnsiTheme="minorHAnsi" w:cstheme="minorHAnsi"/>
          <w:color w:val="404040"/>
          <w:spacing w:val="2"/>
          <w:kern w:val="0"/>
          <w:lang w:eastAsia="cs-CZ"/>
          <w14:ligatures w14:val="none"/>
        </w:rPr>
        <w:t> – vyhláška č. 15/2005 Sb., kterou se stanoví náležitosti dlouhodobých záměrů a výročních zpráv</w:t>
      </w:r>
    </w:p>
    <w:p w14:paraId="7F42AD95"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Zřizovatel</w:t>
      </w:r>
      <w:r w:rsidRPr="00514598">
        <w:rPr>
          <w:rFonts w:asciiTheme="minorHAnsi" w:eastAsia="Times New Roman" w:hAnsiTheme="minorHAnsi" w:cstheme="minorHAnsi"/>
          <w:color w:val="404040"/>
          <w:spacing w:val="2"/>
          <w:kern w:val="0"/>
          <w:lang w:eastAsia="cs-CZ"/>
          <w14:ligatures w14:val="none"/>
        </w:rPr>
        <w:t> – zřizovatel právnické osoby vykonávající činnost školy</w:t>
      </w:r>
    </w:p>
    <w:p w14:paraId="3C0A25D7" w14:textId="77777777" w:rsidR="00514598" w:rsidRPr="00514598" w:rsidRDefault="00514598" w:rsidP="00514598">
      <w:pPr>
        <w:spacing w:after="0"/>
        <w:rPr>
          <w:rFonts w:asciiTheme="minorHAnsi" w:eastAsia="Times New Roman" w:hAnsiTheme="minorHAnsi" w:cstheme="minorHAnsi"/>
          <w:color w:val="404040"/>
          <w:spacing w:val="2"/>
          <w:kern w:val="0"/>
          <w:lang w:eastAsia="cs-CZ"/>
          <w14:ligatures w14:val="none"/>
        </w:rPr>
      </w:pPr>
      <w:r w:rsidRPr="00514598">
        <w:rPr>
          <w:rFonts w:asciiTheme="minorHAnsi" w:eastAsia="Times New Roman" w:hAnsiTheme="minorHAnsi" w:cstheme="minorHAnsi"/>
          <w:b/>
          <w:bCs/>
          <w:color w:val="404040"/>
          <w:spacing w:val="2"/>
          <w:kern w:val="0"/>
          <w:lang w:eastAsia="cs-CZ"/>
          <w14:ligatures w14:val="none"/>
        </w:rPr>
        <w:t>ZŠ</w:t>
      </w:r>
      <w:r w:rsidRPr="00514598">
        <w:rPr>
          <w:rFonts w:asciiTheme="minorHAnsi" w:eastAsia="Times New Roman" w:hAnsiTheme="minorHAnsi" w:cstheme="minorHAnsi"/>
          <w:color w:val="404040"/>
          <w:spacing w:val="2"/>
          <w:kern w:val="0"/>
          <w:lang w:eastAsia="cs-CZ"/>
          <w14:ligatures w14:val="none"/>
        </w:rPr>
        <w:t> – základní škola</w:t>
      </w:r>
    </w:p>
    <w:p w14:paraId="224FAFA7" w14:textId="77777777" w:rsidR="005620EA" w:rsidRPr="00514598" w:rsidRDefault="005620EA" w:rsidP="00514598">
      <w:pPr>
        <w:spacing w:after="0"/>
        <w:rPr>
          <w:rFonts w:asciiTheme="minorHAnsi" w:hAnsiTheme="minorHAnsi" w:cstheme="minorHAnsi"/>
        </w:rPr>
      </w:pPr>
    </w:p>
    <w:sectPr w:rsidR="005620EA" w:rsidRPr="005145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D13A8"/>
    <w:multiLevelType w:val="multilevel"/>
    <w:tmpl w:val="B5EC96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0131E72"/>
    <w:multiLevelType w:val="multilevel"/>
    <w:tmpl w:val="58005D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402E540D"/>
    <w:multiLevelType w:val="multilevel"/>
    <w:tmpl w:val="6EF6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8E7AC7"/>
    <w:multiLevelType w:val="multilevel"/>
    <w:tmpl w:val="F40C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1F5815"/>
    <w:multiLevelType w:val="multilevel"/>
    <w:tmpl w:val="C6F6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4082872">
    <w:abstractNumId w:val="0"/>
  </w:num>
  <w:num w:numId="2" w16cid:durableId="81882245">
    <w:abstractNumId w:val="3"/>
  </w:num>
  <w:num w:numId="3" w16cid:durableId="490102279">
    <w:abstractNumId w:val="4"/>
  </w:num>
  <w:num w:numId="4" w16cid:durableId="916212979">
    <w:abstractNumId w:val="2"/>
  </w:num>
  <w:num w:numId="5" w16cid:durableId="422799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598"/>
    <w:rsid w:val="00147BDC"/>
    <w:rsid w:val="00393B72"/>
    <w:rsid w:val="00514598"/>
    <w:rsid w:val="005620EA"/>
    <w:rsid w:val="00740067"/>
    <w:rsid w:val="00833AD9"/>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DB8F0"/>
  <w15:chartTrackingRefBased/>
  <w15:docId w15:val="{7C66EFD2-404B-4DE1-8A50-FE1E64F4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514598"/>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514598"/>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514598"/>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51459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514598"/>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514598"/>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514598"/>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514598"/>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514598"/>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514598"/>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14598"/>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14598"/>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14598"/>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14598"/>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1459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1459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1459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14598"/>
    <w:rPr>
      <w:rFonts w:eastAsiaTheme="majorEastAsia" w:cstheme="majorBidi"/>
      <w:color w:val="272727" w:themeColor="text1" w:themeTint="D8"/>
    </w:rPr>
  </w:style>
  <w:style w:type="paragraph" w:styleId="Nzev">
    <w:name w:val="Title"/>
    <w:basedOn w:val="Normln"/>
    <w:next w:val="Normln"/>
    <w:link w:val="NzevChar"/>
    <w:uiPriority w:val="10"/>
    <w:qFormat/>
    <w:rsid w:val="00514598"/>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1459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1459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1459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1459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14598"/>
    <w:rPr>
      <w:rFonts w:ascii="Calibri" w:hAnsi="Calibri" w:cs="Calibri"/>
      <w:i/>
      <w:iCs/>
      <w:color w:val="404040" w:themeColor="text1" w:themeTint="BF"/>
    </w:rPr>
  </w:style>
  <w:style w:type="paragraph" w:styleId="Odstavecseseznamem">
    <w:name w:val="List Paragraph"/>
    <w:basedOn w:val="Normln"/>
    <w:uiPriority w:val="34"/>
    <w:qFormat/>
    <w:rsid w:val="00514598"/>
    <w:pPr>
      <w:ind w:left="720"/>
      <w:contextualSpacing/>
    </w:pPr>
  </w:style>
  <w:style w:type="character" w:styleId="Zdraznnintenzivn">
    <w:name w:val="Intense Emphasis"/>
    <w:basedOn w:val="Standardnpsmoodstavce"/>
    <w:uiPriority w:val="21"/>
    <w:qFormat/>
    <w:rsid w:val="00514598"/>
    <w:rPr>
      <w:i/>
      <w:iCs/>
      <w:color w:val="2F5496" w:themeColor="accent1" w:themeShade="BF"/>
    </w:rPr>
  </w:style>
  <w:style w:type="paragraph" w:styleId="Vrazncitt">
    <w:name w:val="Intense Quote"/>
    <w:basedOn w:val="Normln"/>
    <w:next w:val="Normln"/>
    <w:link w:val="VrazncittChar"/>
    <w:uiPriority w:val="30"/>
    <w:qFormat/>
    <w:rsid w:val="005145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514598"/>
    <w:rPr>
      <w:rFonts w:ascii="Calibri" w:hAnsi="Calibri" w:cs="Calibri"/>
      <w:i/>
      <w:iCs/>
      <w:color w:val="2F5496" w:themeColor="accent1" w:themeShade="BF"/>
    </w:rPr>
  </w:style>
  <w:style w:type="character" w:styleId="Odkazintenzivn">
    <w:name w:val="Intense Reference"/>
    <w:basedOn w:val="Standardnpsmoodstavce"/>
    <w:uiPriority w:val="32"/>
    <w:qFormat/>
    <w:rsid w:val="0051459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859611">
      <w:bodyDiv w:val="1"/>
      <w:marLeft w:val="0"/>
      <w:marRight w:val="0"/>
      <w:marTop w:val="0"/>
      <w:marBottom w:val="0"/>
      <w:divBdr>
        <w:top w:val="none" w:sz="0" w:space="0" w:color="auto"/>
        <w:left w:val="none" w:sz="0" w:space="0" w:color="auto"/>
        <w:bottom w:val="none" w:sz="0" w:space="0" w:color="auto"/>
        <w:right w:val="none" w:sz="0" w:space="0" w:color="auto"/>
      </w:divBdr>
      <w:divsChild>
        <w:div w:id="1009482975">
          <w:marLeft w:val="0"/>
          <w:marRight w:val="0"/>
          <w:marTop w:val="0"/>
          <w:marBottom w:val="0"/>
          <w:divBdr>
            <w:top w:val="none" w:sz="0" w:space="0" w:color="auto"/>
            <w:left w:val="none" w:sz="0" w:space="0" w:color="auto"/>
            <w:bottom w:val="none" w:sz="0" w:space="0" w:color="auto"/>
            <w:right w:val="none" w:sz="0" w:space="0" w:color="auto"/>
          </w:divBdr>
          <w:divsChild>
            <w:div w:id="1589078098">
              <w:marLeft w:val="0"/>
              <w:marRight w:val="0"/>
              <w:marTop w:val="0"/>
              <w:marBottom w:val="0"/>
              <w:divBdr>
                <w:top w:val="none" w:sz="0" w:space="0" w:color="auto"/>
                <w:left w:val="none" w:sz="0" w:space="0" w:color="auto"/>
                <w:bottom w:val="none" w:sz="0" w:space="0" w:color="auto"/>
                <w:right w:val="none" w:sz="0" w:space="0" w:color="auto"/>
              </w:divBdr>
            </w:div>
          </w:divsChild>
        </w:div>
        <w:div w:id="30880298">
          <w:marLeft w:val="0"/>
          <w:marRight w:val="0"/>
          <w:marTop w:val="0"/>
          <w:marBottom w:val="0"/>
          <w:divBdr>
            <w:top w:val="none" w:sz="0" w:space="0" w:color="auto"/>
            <w:left w:val="none" w:sz="0" w:space="0" w:color="auto"/>
            <w:bottom w:val="none" w:sz="0" w:space="0" w:color="auto"/>
            <w:right w:val="none" w:sz="0" w:space="0" w:color="auto"/>
          </w:divBdr>
          <w:divsChild>
            <w:div w:id="337541539">
              <w:marLeft w:val="0"/>
              <w:marRight w:val="0"/>
              <w:marTop w:val="0"/>
              <w:marBottom w:val="0"/>
              <w:divBdr>
                <w:top w:val="none" w:sz="0" w:space="0" w:color="auto"/>
                <w:left w:val="none" w:sz="0" w:space="0" w:color="auto"/>
                <w:bottom w:val="none" w:sz="0" w:space="0" w:color="auto"/>
                <w:right w:val="none" w:sz="0" w:space="0" w:color="auto"/>
              </w:divBdr>
            </w:div>
          </w:divsChild>
        </w:div>
        <w:div w:id="205684633">
          <w:marLeft w:val="0"/>
          <w:marRight w:val="0"/>
          <w:marTop w:val="0"/>
          <w:marBottom w:val="0"/>
          <w:divBdr>
            <w:top w:val="none" w:sz="0" w:space="0" w:color="auto"/>
            <w:left w:val="none" w:sz="0" w:space="0" w:color="auto"/>
            <w:bottom w:val="none" w:sz="0" w:space="0" w:color="auto"/>
            <w:right w:val="none" w:sz="0" w:space="0" w:color="auto"/>
          </w:divBdr>
          <w:divsChild>
            <w:div w:id="2104180437">
              <w:marLeft w:val="0"/>
              <w:marRight w:val="0"/>
              <w:marTop w:val="0"/>
              <w:marBottom w:val="0"/>
              <w:divBdr>
                <w:top w:val="none" w:sz="0" w:space="0" w:color="auto"/>
                <w:left w:val="none" w:sz="0" w:space="0" w:color="auto"/>
                <w:bottom w:val="none" w:sz="0" w:space="0" w:color="auto"/>
                <w:right w:val="none" w:sz="0" w:space="0" w:color="auto"/>
              </w:divBdr>
            </w:div>
          </w:divsChild>
        </w:div>
        <w:div w:id="2061782584">
          <w:marLeft w:val="0"/>
          <w:marRight w:val="0"/>
          <w:marTop w:val="0"/>
          <w:marBottom w:val="0"/>
          <w:divBdr>
            <w:top w:val="none" w:sz="0" w:space="0" w:color="auto"/>
            <w:left w:val="none" w:sz="0" w:space="0" w:color="auto"/>
            <w:bottom w:val="none" w:sz="0" w:space="0" w:color="auto"/>
            <w:right w:val="none" w:sz="0" w:space="0" w:color="auto"/>
          </w:divBdr>
          <w:divsChild>
            <w:div w:id="9966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87417">
      <w:bodyDiv w:val="1"/>
      <w:marLeft w:val="0"/>
      <w:marRight w:val="0"/>
      <w:marTop w:val="0"/>
      <w:marBottom w:val="0"/>
      <w:divBdr>
        <w:top w:val="none" w:sz="0" w:space="0" w:color="auto"/>
        <w:left w:val="none" w:sz="0" w:space="0" w:color="auto"/>
        <w:bottom w:val="none" w:sz="0" w:space="0" w:color="auto"/>
        <w:right w:val="none" w:sz="0" w:space="0" w:color="auto"/>
      </w:divBdr>
      <w:divsChild>
        <w:div w:id="724841114">
          <w:marLeft w:val="0"/>
          <w:marRight w:val="0"/>
          <w:marTop w:val="0"/>
          <w:marBottom w:val="0"/>
          <w:divBdr>
            <w:top w:val="none" w:sz="0" w:space="0" w:color="auto"/>
            <w:left w:val="none" w:sz="0" w:space="0" w:color="auto"/>
            <w:bottom w:val="none" w:sz="0" w:space="0" w:color="auto"/>
            <w:right w:val="none" w:sz="0" w:space="0" w:color="auto"/>
          </w:divBdr>
        </w:div>
        <w:div w:id="64227951">
          <w:marLeft w:val="0"/>
          <w:marRight w:val="0"/>
          <w:marTop w:val="0"/>
          <w:marBottom w:val="0"/>
          <w:divBdr>
            <w:top w:val="none" w:sz="0" w:space="0" w:color="auto"/>
            <w:left w:val="none" w:sz="0" w:space="0" w:color="auto"/>
            <w:bottom w:val="none" w:sz="0" w:space="0" w:color="auto"/>
            <w:right w:val="none" w:sz="0" w:space="0" w:color="auto"/>
          </w:divBdr>
          <w:divsChild>
            <w:div w:id="1612784516">
              <w:marLeft w:val="0"/>
              <w:marRight w:val="0"/>
              <w:marTop w:val="0"/>
              <w:marBottom w:val="0"/>
              <w:divBdr>
                <w:top w:val="none" w:sz="0" w:space="0" w:color="auto"/>
                <w:left w:val="none" w:sz="0" w:space="0" w:color="auto"/>
                <w:bottom w:val="none" w:sz="0" w:space="0" w:color="auto"/>
                <w:right w:val="none" w:sz="0" w:space="0" w:color="auto"/>
              </w:divBdr>
              <w:divsChild>
                <w:div w:id="2115586286">
                  <w:marLeft w:val="0"/>
                  <w:marRight w:val="0"/>
                  <w:marTop w:val="0"/>
                  <w:marBottom w:val="0"/>
                  <w:divBdr>
                    <w:top w:val="none" w:sz="0" w:space="0" w:color="auto"/>
                    <w:left w:val="none" w:sz="0" w:space="0" w:color="auto"/>
                    <w:bottom w:val="none" w:sz="0" w:space="0" w:color="auto"/>
                    <w:right w:val="none" w:sz="0" w:space="0" w:color="auto"/>
                  </w:divBdr>
                  <w:divsChild>
                    <w:div w:id="1279024239">
                      <w:marLeft w:val="0"/>
                      <w:marRight w:val="0"/>
                      <w:marTop w:val="225"/>
                      <w:marBottom w:val="225"/>
                      <w:divBdr>
                        <w:top w:val="none" w:sz="0" w:space="0" w:color="auto"/>
                        <w:left w:val="none" w:sz="0" w:space="0" w:color="auto"/>
                        <w:bottom w:val="none" w:sz="0" w:space="0" w:color="auto"/>
                        <w:right w:val="none" w:sz="0" w:space="0" w:color="auto"/>
                      </w:divBdr>
                      <w:divsChild>
                        <w:div w:id="1533574404">
                          <w:marLeft w:val="0"/>
                          <w:marRight w:val="0"/>
                          <w:marTop w:val="0"/>
                          <w:marBottom w:val="0"/>
                          <w:divBdr>
                            <w:top w:val="none" w:sz="0" w:space="0" w:color="auto"/>
                            <w:left w:val="none" w:sz="0" w:space="0" w:color="auto"/>
                            <w:bottom w:val="none" w:sz="0" w:space="0" w:color="auto"/>
                            <w:right w:val="none" w:sz="0" w:space="0" w:color="auto"/>
                          </w:divBdr>
                        </w:div>
                        <w:div w:id="1007248820">
                          <w:marLeft w:val="0"/>
                          <w:marRight w:val="0"/>
                          <w:marTop w:val="0"/>
                          <w:marBottom w:val="0"/>
                          <w:divBdr>
                            <w:top w:val="none" w:sz="0" w:space="0" w:color="auto"/>
                            <w:left w:val="none" w:sz="0" w:space="0" w:color="auto"/>
                            <w:bottom w:val="none" w:sz="0" w:space="0" w:color="auto"/>
                            <w:right w:val="none" w:sz="0" w:space="0" w:color="auto"/>
                          </w:divBdr>
                        </w:div>
                      </w:divsChild>
                    </w:div>
                    <w:div w:id="259024905">
                      <w:marLeft w:val="0"/>
                      <w:marRight w:val="0"/>
                      <w:marTop w:val="225"/>
                      <w:marBottom w:val="225"/>
                      <w:divBdr>
                        <w:top w:val="none" w:sz="0" w:space="0" w:color="auto"/>
                        <w:left w:val="none" w:sz="0" w:space="0" w:color="auto"/>
                        <w:bottom w:val="none" w:sz="0" w:space="0" w:color="auto"/>
                        <w:right w:val="none" w:sz="0" w:space="0" w:color="auto"/>
                      </w:divBdr>
                      <w:divsChild>
                        <w:div w:id="984355858">
                          <w:marLeft w:val="0"/>
                          <w:marRight w:val="0"/>
                          <w:marTop w:val="0"/>
                          <w:marBottom w:val="0"/>
                          <w:divBdr>
                            <w:top w:val="none" w:sz="0" w:space="0" w:color="auto"/>
                            <w:left w:val="none" w:sz="0" w:space="0" w:color="auto"/>
                            <w:bottom w:val="none" w:sz="0" w:space="0" w:color="auto"/>
                            <w:right w:val="none" w:sz="0" w:space="0" w:color="auto"/>
                          </w:divBdr>
                        </w:div>
                        <w:div w:id="2002922272">
                          <w:marLeft w:val="0"/>
                          <w:marRight w:val="0"/>
                          <w:marTop w:val="0"/>
                          <w:marBottom w:val="0"/>
                          <w:divBdr>
                            <w:top w:val="none" w:sz="0" w:space="0" w:color="auto"/>
                            <w:left w:val="none" w:sz="0" w:space="0" w:color="auto"/>
                            <w:bottom w:val="none" w:sz="0" w:space="0" w:color="auto"/>
                            <w:right w:val="none" w:sz="0" w:space="0" w:color="auto"/>
                          </w:divBdr>
                        </w:div>
                      </w:divsChild>
                    </w:div>
                    <w:div w:id="996809035">
                      <w:marLeft w:val="0"/>
                      <w:marRight w:val="0"/>
                      <w:marTop w:val="225"/>
                      <w:marBottom w:val="225"/>
                      <w:divBdr>
                        <w:top w:val="none" w:sz="0" w:space="0" w:color="auto"/>
                        <w:left w:val="none" w:sz="0" w:space="0" w:color="auto"/>
                        <w:bottom w:val="none" w:sz="0" w:space="0" w:color="auto"/>
                        <w:right w:val="none" w:sz="0" w:space="0" w:color="auto"/>
                      </w:divBdr>
                      <w:divsChild>
                        <w:div w:id="897669790">
                          <w:marLeft w:val="0"/>
                          <w:marRight w:val="0"/>
                          <w:marTop w:val="0"/>
                          <w:marBottom w:val="0"/>
                          <w:divBdr>
                            <w:top w:val="none" w:sz="0" w:space="0" w:color="auto"/>
                            <w:left w:val="none" w:sz="0" w:space="0" w:color="auto"/>
                            <w:bottom w:val="none" w:sz="0" w:space="0" w:color="auto"/>
                            <w:right w:val="none" w:sz="0" w:space="0" w:color="auto"/>
                          </w:divBdr>
                        </w:div>
                        <w:div w:id="291981786">
                          <w:marLeft w:val="0"/>
                          <w:marRight w:val="0"/>
                          <w:marTop w:val="0"/>
                          <w:marBottom w:val="0"/>
                          <w:divBdr>
                            <w:top w:val="none" w:sz="0" w:space="0" w:color="auto"/>
                            <w:left w:val="none" w:sz="0" w:space="0" w:color="auto"/>
                            <w:bottom w:val="none" w:sz="0" w:space="0" w:color="auto"/>
                            <w:right w:val="none" w:sz="0" w:space="0" w:color="auto"/>
                          </w:divBdr>
                        </w:div>
                      </w:divsChild>
                    </w:div>
                    <w:div w:id="1073240146">
                      <w:marLeft w:val="0"/>
                      <w:marRight w:val="0"/>
                      <w:marTop w:val="225"/>
                      <w:marBottom w:val="225"/>
                      <w:divBdr>
                        <w:top w:val="none" w:sz="0" w:space="0" w:color="auto"/>
                        <w:left w:val="none" w:sz="0" w:space="0" w:color="auto"/>
                        <w:bottom w:val="none" w:sz="0" w:space="0" w:color="auto"/>
                        <w:right w:val="none" w:sz="0" w:space="0" w:color="auto"/>
                      </w:divBdr>
                      <w:divsChild>
                        <w:div w:id="1549996731">
                          <w:marLeft w:val="0"/>
                          <w:marRight w:val="0"/>
                          <w:marTop w:val="0"/>
                          <w:marBottom w:val="0"/>
                          <w:divBdr>
                            <w:top w:val="none" w:sz="0" w:space="0" w:color="auto"/>
                            <w:left w:val="none" w:sz="0" w:space="0" w:color="auto"/>
                            <w:bottom w:val="none" w:sz="0" w:space="0" w:color="auto"/>
                            <w:right w:val="none" w:sz="0" w:space="0" w:color="auto"/>
                          </w:divBdr>
                        </w:div>
                        <w:div w:id="797920937">
                          <w:marLeft w:val="0"/>
                          <w:marRight w:val="0"/>
                          <w:marTop w:val="0"/>
                          <w:marBottom w:val="0"/>
                          <w:divBdr>
                            <w:top w:val="none" w:sz="0" w:space="0" w:color="auto"/>
                            <w:left w:val="none" w:sz="0" w:space="0" w:color="auto"/>
                            <w:bottom w:val="none" w:sz="0" w:space="0" w:color="auto"/>
                            <w:right w:val="none" w:sz="0" w:space="0" w:color="auto"/>
                          </w:divBdr>
                        </w:div>
                      </w:divsChild>
                    </w:div>
                    <w:div w:id="84112208">
                      <w:marLeft w:val="0"/>
                      <w:marRight w:val="0"/>
                      <w:marTop w:val="225"/>
                      <w:marBottom w:val="225"/>
                      <w:divBdr>
                        <w:top w:val="none" w:sz="0" w:space="0" w:color="auto"/>
                        <w:left w:val="none" w:sz="0" w:space="0" w:color="auto"/>
                        <w:bottom w:val="none" w:sz="0" w:space="0" w:color="auto"/>
                        <w:right w:val="none" w:sz="0" w:space="0" w:color="auto"/>
                      </w:divBdr>
                      <w:divsChild>
                        <w:div w:id="1838114428">
                          <w:marLeft w:val="0"/>
                          <w:marRight w:val="0"/>
                          <w:marTop w:val="0"/>
                          <w:marBottom w:val="0"/>
                          <w:divBdr>
                            <w:top w:val="none" w:sz="0" w:space="0" w:color="auto"/>
                            <w:left w:val="none" w:sz="0" w:space="0" w:color="auto"/>
                            <w:bottom w:val="none" w:sz="0" w:space="0" w:color="auto"/>
                            <w:right w:val="none" w:sz="0" w:space="0" w:color="auto"/>
                          </w:divBdr>
                        </w:div>
                        <w:div w:id="1055812152">
                          <w:marLeft w:val="0"/>
                          <w:marRight w:val="0"/>
                          <w:marTop w:val="0"/>
                          <w:marBottom w:val="0"/>
                          <w:divBdr>
                            <w:top w:val="none" w:sz="0" w:space="0" w:color="auto"/>
                            <w:left w:val="none" w:sz="0" w:space="0" w:color="auto"/>
                            <w:bottom w:val="none" w:sz="0" w:space="0" w:color="auto"/>
                            <w:right w:val="none" w:sz="0" w:space="0" w:color="auto"/>
                          </w:divBdr>
                        </w:div>
                      </w:divsChild>
                    </w:div>
                    <w:div w:id="887037321">
                      <w:marLeft w:val="0"/>
                      <w:marRight w:val="0"/>
                      <w:marTop w:val="225"/>
                      <w:marBottom w:val="225"/>
                      <w:divBdr>
                        <w:top w:val="none" w:sz="0" w:space="0" w:color="auto"/>
                        <w:left w:val="none" w:sz="0" w:space="0" w:color="auto"/>
                        <w:bottom w:val="none" w:sz="0" w:space="0" w:color="auto"/>
                        <w:right w:val="none" w:sz="0" w:space="0" w:color="auto"/>
                      </w:divBdr>
                      <w:divsChild>
                        <w:div w:id="2035645845">
                          <w:marLeft w:val="0"/>
                          <w:marRight w:val="0"/>
                          <w:marTop w:val="0"/>
                          <w:marBottom w:val="0"/>
                          <w:divBdr>
                            <w:top w:val="none" w:sz="0" w:space="0" w:color="auto"/>
                            <w:left w:val="none" w:sz="0" w:space="0" w:color="auto"/>
                            <w:bottom w:val="none" w:sz="0" w:space="0" w:color="auto"/>
                            <w:right w:val="none" w:sz="0" w:space="0" w:color="auto"/>
                          </w:divBdr>
                        </w:div>
                        <w:div w:id="1829243292">
                          <w:marLeft w:val="0"/>
                          <w:marRight w:val="0"/>
                          <w:marTop w:val="0"/>
                          <w:marBottom w:val="0"/>
                          <w:divBdr>
                            <w:top w:val="none" w:sz="0" w:space="0" w:color="auto"/>
                            <w:left w:val="none" w:sz="0" w:space="0" w:color="auto"/>
                            <w:bottom w:val="none" w:sz="0" w:space="0" w:color="auto"/>
                            <w:right w:val="none" w:sz="0" w:space="0" w:color="auto"/>
                          </w:divBdr>
                        </w:div>
                      </w:divsChild>
                    </w:div>
                    <w:div w:id="1776947351">
                      <w:marLeft w:val="0"/>
                      <w:marRight w:val="0"/>
                      <w:marTop w:val="225"/>
                      <w:marBottom w:val="225"/>
                      <w:divBdr>
                        <w:top w:val="none" w:sz="0" w:space="0" w:color="auto"/>
                        <w:left w:val="none" w:sz="0" w:space="0" w:color="auto"/>
                        <w:bottom w:val="none" w:sz="0" w:space="0" w:color="auto"/>
                        <w:right w:val="none" w:sz="0" w:space="0" w:color="auto"/>
                      </w:divBdr>
                      <w:divsChild>
                        <w:div w:id="713849011">
                          <w:marLeft w:val="0"/>
                          <w:marRight w:val="0"/>
                          <w:marTop w:val="0"/>
                          <w:marBottom w:val="0"/>
                          <w:divBdr>
                            <w:top w:val="none" w:sz="0" w:space="0" w:color="auto"/>
                            <w:left w:val="none" w:sz="0" w:space="0" w:color="auto"/>
                            <w:bottom w:val="none" w:sz="0" w:space="0" w:color="auto"/>
                            <w:right w:val="none" w:sz="0" w:space="0" w:color="auto"/>
                          </w:divBdr>
                        </w:div>
                        <w:div w:id="463699489">
                          <w:marLeft w:val="0"/>
                          <w:marRight w:val="0"/>
                          <w:marTop w:val="0"/>
                          <w:marBottom w:val="0"/>
                          <w:divBdr>
                            <w:top w:val="none" w:sz="0" w:space="0" w:color="auto"/>
                            <w:left w:val="none" w:sz="0" w:space="0" w:color="auto"/>
                            <w:bottom w:val="none" w:sz="0" w:space="0" w:color="auto"/>
                            <w:right w:val="none" w:sz="0" w:space="0" w:color="auto"/>
                          </w:divBdr>
                        </w:div>
                      </w:divsChild>
                    </w:div>
                    <w:div w:id="755787851">
                      <w:marLeft w:val="0"/>
                      <w:marRight w:val="0"/>
                      <w:marTop w:val="225"/>
                      <w:marBottom w:val="225"/>
                      <w:divBdr>
                        <w:top w:val="none" w:sz="0" w:space="0" w:color="auto"/>
                        <w:left w:val="none" w:sz="0" w:space="0" w:color="auto"/>
                        <w:bottom w:val="none" w:sz="0" w:space="0" w:color="auto"/>
                        <w:right w:val="none" w:sz="0" w:space="0" w:color="auto"/>
                      </w:divBdr>
                      <w:divsChild>
                        <w:div w:id="168566979">
                          <w:marLeft w:val="0"/>
                          <w:marRight w:val="0"/>
                          <w:marTop w:val="0"/>
                          <w:marBottom w:val="0"/>
                          <w:divBdr>
                            <w:top w:val="none" w:sz="0" w:space="0" w:color="auto"/>
                            <w:left w:val="none" w:sz="0" w:space="0" w:color="auto"/>
                            <w:bottom w:val="none" w:sz="0" w:space="0" w:color="auto"/>
                            <w:right w:val="none" w:sz="0" w:space="0" w:color="auto"/>
                          </w:divBdr>
                        </w:div>
                        <w:div w:id="1468741173">
                          <w:marLeft w:val="0"/>
                          <w:marRight w:val="0"/>
                          <w:marTop w:val="0"/>
                          <w:marBottom w:val="0"/>
                          <w:divBdr>
                            <w:top w:val="none" w:sz="0" w:space="0" w:color="auto"/>
                            <w:left w:val="none" w:sz="0" w:space="0" w:color="auto"/>
                            <w:bottom w:val="none" w:sz="0" w:space="0" w:color="auto"/>
                            <w:right w:val="none" w:sz="0" w:space="0" w:color="auto"/>
                          </w:divBdr>
                        </w:div>
                      </w:divsChild>
                    </w:div>
                    <w:div w:id="618802094">
                      <w:marLeft w:val="0"/>
                      <w:marRight w:val="0"/>
                      <w:marTop w:val="225"/>
                      <w:marBottom w:val="225"/>
                      <w:divBdr>
                        <w:top w:val="none" w:sz="0" w:space="0" w:color="auto"/>
                        <w:left w:val="none" w:sz="0" w:space="0" w:color="auto"/>
                        <w:bottom w:val="none" w:sz="0" w:space="0" w:color="auto"/>
                        <w:right w:val="none" w:sz="0" w:space="0" w:color="auto"/>
                      </w:divBdr>
                      <w:divsChild>
                        <w:div w:id="1053306860">
                          <w:marLeft w:val="0"/>
                          <w:marRight w:val="0"/>
                          <w:marTop w:val="0"/>
                          <w:marBottom w:val="0"/>
                          <w:divBdr>
                            <w:top w:val="none" w:sz="0" w:space="0" w:color="auto"/>
                            <w:left w:val="none" w:sz="0" w:space="0" w:color="auto"/>
                            <w:bottom w:val="none" w:sz="0" w:space="0" w:color="auto"/>
                            <w:right w:val="none" w:sz="0" w:space="0" w:color="auto"/>
                          </w:divBdr>
                        </w:div>
                        <w:div w:id="404228958">
                          <w:marLeft w:val="0"/>
                          <w:marRight w:val="0"/>
                          <w:marTop w:val="0"/>
                          <w:marBottom w:val="0"/>
                          <w:divBdr>
                            <w:top w:val="none" w:sz="0" w:space="0" w:color="auto"/>
                            <w:left w:val="none" w:sz="0" w:space="0" w:color="auto"/>
                            <w:bottom w:val="none" w:sz="0" w:space="0" w:color="auto"/>
                            <w:right w:val="none" w:sz="0" w:space="0" w:color="auto"/>
                          </w:divBdr>
                        </w:div>
                      </w:divsChild>
                    </w:div>
                    <w:div w:id="1700272997">
                      <w:marLeft w:val="0"/>
                      <w:marRight w:val="0"/>
                      <w:marTop w:val="225"/>
                      <w:marBottom w:val="225"/>
                      <w:divBdr>
                        <w:top w:val="none" w:sz="0" w:space="0" w:color="auto"/>
                        <w:left w:val="none" w:sz="0" w:space="0" w:color="auto"/>
                        <w:bottom w:val="none" w:sz="0" w:space="0" w:color="auto"/>
                        <w:right w:val="none" w:sz="0" w:space="0" w:color="auto"/>
                      </w:divBdr>
                      <w:divsChild>
                        <w:div w:id="1503934829">
                          <w:marLeft w:val="0"/>
                          <w:marRight w:val="0"/>
                          <w:marTop w:val="0"/>
                          <w:marBottom w:val="0"/>
                          <w:divBdr>
                            <w:top w:val="none" w:sz="0" w:space="0" w:color="auto"/>
                            <w:left w:val="none" w:sz="0" w:space="0" w:color="auto"/>
                            <w:bottom w:val="none" w:sz="0" w:space="0" w:color="auto"/>
                            <w:right w:val="none" w:sz="0" w:space="0" w:color="auto"/>
                          </w:divBdr>
                        </w:div>
                        <w:div w:id="720636207">
                          <w:marLeft w:val="0"/>
                          <w:marRight w:val="0"/>
                          <w:marTop w:val="0"/>
                          <w:marBottom w:val="0"/>
                          <w:divBdr>
                            <w:top w:val="none" w:sz="0" w:space="0" w:color="auto"/>
                            <w:left w:val="none" w:sz="0" w:space="0" w:color="auto"/>
                            <w:bottom w:val="none" w:sz="0" w:space="0" w:color="auto"/>
                            <w:right w:val="none" w:sz="0" w:space="0" w:color="auto"/>
                          </w:divBdr>
                        </w:div>
                      </w:divsChild>
                    </w:div>
                    <w:div w:id="367486975">
                      <w:marLeft w:val="0"/>
                      <w:marRight w:val="0"/>
                      <w:marTop w:val="225"/>
                      <w:marBottom w:val="225"/>
                      <w:divBdr>
                        <w:top w:val="none" w:sz="0" w:space="0" w:color="auto"/>
                        <w:left w:val="none" w:sz="0" w:space="0" w:color="auto"/>
                        <w:bottom w:val="none" w:sz="0" w:space="0" w:color="auto"/>
                        <w:right w:val="none" w:sz="0" w:space="0" w:color="auto"/>
                      </w:divBdr>
                      <w:divsChild>
                        <w:div w:id="84621562">
                          <w:marLeft w:val="0"/>
                          <w:marRight w:val="0"/>
                          <w:marTop w:val="0"/>
                          <w:marBottom w:val="0"/>
                          <w:divBdr>
                            <w:top w:val="none" w:sz="0" w:space="0" w:color="auto"/>
                            <w:left w:val="none" w:sz="0" w:space="0" w:color="auto"/>
                            <w:bottom w:val="none" w:sz="0" w:space="0" w:color="auto"/>
                            <w:right w:val="none" w:sz="0" w:space="0" w:color="auto"/>
                          </w:divBdr>
                        </w:div>
                        <w:div w:id="1565868991">
                          <w:marLeft w:val="0"/>
                          <w:marRight w:val="0"/>
                          <w:marTop w:val="0"/>
                          <w:marBottom w:val="0"/>
                          <w:divBdr>
                            <w:top w:val="none" w:sz="0" w:space="0" w:color="auto"/>
                            <w:left w:val="none" w:sz="0" w:space="0" w:color="auto"/>
                            <w:bottom w:val="none" w:sz="0" w:space="0" w:color="auto"/>
                            <w:right w:val="none" w:sz="0" w:space="0" w:color="auto"/>
                          </w:divBdr>
                        </w:div>
                      </w:divsChild>
                    </w:div>
                    <w:div w:id="704675191">
                      <w:marLeft w:val="0"/>
                      <w:marRight w:val="0"/>
                      <w:marTop w:val="225"/>
                      <w:marBottom w:val="225"/>
                      <w:divBdr>
                        <w:top w:val="none" w:sz="0" w:space="0" w:color="auto"/>
                        <w:left w:val="none" w:sz="0" w:space="0" w:color="auto"/>
                        <w:bottom w:val="none" w:sz="0" w:space="0" w:color="auto"/>
                        <w:right w:val="none" w:sz="0" w:space="0" w:color="auto"/>
                      </w:divBdr>
                      <w:divsChild>
                        <w:div w:id="162204357">
                          <w:marLeft w:val="0"/>
                          <w:marRight w:val="0"/>
                          <w:marTop w:val="0"/>
                          <w:marBottom w:val="0"/>
                          <w:divBdr>
                            <w:top w:val="none" w:sz="0" w:space="0" w:color="auto"/>
                            <w:left w:val="none" w:sz="0" w:space="0" w:color="auto"/>
                            <w:bottom w:val="none" w:sz="0" w:space="0" w:color="auto"/>
                            <w:right w:val="none" w:sz="0" w:space="0" w:color="auto"/>
                          </w:divBdr>
                        </w:div>
                      </w:divsChild>
                    </w:div>
                    <w:div w:id="859319421">
                      <w:marLeft w:val="0"/>
                      <w:marRight w:val="0"/>
                      <w:marTop w:val="225"/>
                      <w:marBottom w:val="225"/>
                      <w:divBdr>
                        <w:top w:val="none" w:sz="0" w:space="0" w:color="auto"/>
                        <w:left w:val="none" w:sz="0" w:space="0" w:color="auto"/>
                        <w:bottom w:val="none" w:sz="0" w:space="0" w:color="auto"/>
                        <w:right w:val="none" w:sz="0" w:space="0" w:color="auto"/>
                      </w:divBdr>
                      <w:divsChild>
                        <w:div w:id="13921446">
                          <w:marLeft w:val="0"/>
                          <w:marRight w:val="0"/>
                          <w:marTop w:val="0"/>
                          <w:marBottom w:val="0"/>
                          <w:divBdr>
                            <w:top w:val="none" w:sz="0" w:space="0" w:color="auto"/>
                            <w:left w:val="none" w:sz="0" w:space="0" w:color="auto"/>
                            <w:bottom w:val="none" w:sz="0" w:space="0" w:color="auto"/>
                            <w:right w:val="none" w:sz="0" w:space="0" w:color="auto"/>
                          </w:divBdr>
                        </w:div>
                      </w:divsChild>
                    </w:div>
                    <w:div w:id="366177571">
                      <w:marLeft w:val="0"/>
                      <w:marRight w:val="0"/>
                      <w:marTop w:val="225"/>
                      <w:marBottom w:val="225"/>
                      <w:divBdr>
                        <w:top w:val="none" w:sz="0" w:space="0" w:color="auto"/>
                        <w:left w:val="none" w:sz="0" w:space="0" w:color="auto"/>
                        <w:bottom w:val="none" w:sz="0" w:space="0" w:color="auto"/>
                        <w:right w:val="none" w:sz="0" w:space="0" w:color="auto"/>
                      </w:divBdr>
                      <w:divsChild>
                        <w:div w:id="1255286517">
                          <w:marLeft w:val="0"/>
                          <w:marRight w:val="0"/>
                          <w:marTop w:val="0"/>
                          <w:marBottom w:val="0"/>
                          <w:divBdr>
                            <w:top w:val="none" w:sz="0" w:space="0" w:color="auto"/>
                            <w:left w:val="none" w:sz="0" w:space="0" w:color="auto"/>
                            <w:bottom w:val="none" w:sz="0" w:space="0" w:color="auto"/>
                            <w:right w:val="none" w:sz="0" w:space="0" w:color="auto"/>
                          </w:divBdr>
                        </w:div>
                      </w:divsChild>
                    </w:div>
                    <w:div w:id="497115344">
                      <w:marLeft w:val="0"/>
                      <w:marRight w:val="0"/>
                      <w:marTop w:val="225"/>
                      <w:marBottom w:val="225"/>
                      <w:divBdr>
                        <w:top w:val="none" w:sz="0" w:space="0" w:color="auto"/>
                        <w:left w:val="none" w:sz="0" w:space="0" w:color="auto"/>
                        <w:bottom w:val="none" w:sz="0" w:space="0" w:color="auto"/>
                        <w:right w:val="none" w:sz="0" w:space="0" w:color="auto"/>
                      </w:divBdr>
                      <w:divsChild>
                        <w:div w:id="286476380">
                          <w:marLeft w:val="0"/>
                          <w:marRight w:val="0"/>
                          <w:marTop w:val="0"/>
                          <w:marBottom w:val="0"/>
                          <w:divBdr>
                            <w:top w:val="none" w:sz="0" w:space="0" w:color="auto"/>
                            <w:left w:val="none" w:sz="0" w:space="0" w:color="auto"/>
                            <w:bottom w:val="none" w:sz="0" w:space="0" w:color="auto"/>
                            <w:right w:val="none" w:sz="0" w:space="0" w:color="auto"/>
                          </w:divBdr>
                        </w:div>
                        <w:div w:id="349069389">
                          <w:marLeft w:val="0"/>
                          <w:marRight w:val="0"/>
                          <w:marTop w:val="0"/>
                          <w:marBottom w:val="0"/>
                          <w:divBdr>
                            <w:top w:val="none" w:sz="0" w:space="0" w:color="auto"/>
                            <w:left w:val="none" w:sz="0" w:space="0" w:color="auto"/>
                            <w:bottom w:val="none" w:sz="0" w:space="0" w:color="auto"/>
                            <w:right w:val="none" w:sz="0" w:space="0" w:color="auto"/>
                          </w:divBdr>
                        </w:div>
                      </w:divsChild>
                    </w:div>
                    <w:div w:id="898445312">
                      <w:marLeft w:val="0"/>
                      <w:marRight w:val="0"/>
                      <w:marTop w:val="225"/>
                      <w:marBottom w:val="225"/>
                      <w:divBdr>
                        <w:top w:val="none" w:sz="0" w:space="0" w:color="auto"/>
                        <w:left w:val="none" w:sz="0" w:space="0" w:color="auto"/>
                        <w:bottom w:val="none" w:sz="0" w:space="0" w:color="auto"/>
                        <w:right w:val="none" w:sz="0" w:space="0" w:color="auto"/>
                      </w:divBdr>
                      <w:divsChild>
                        <w:div w:id="758060218">
                          <w:marLeft w:val="0"/>
                          <w:marRight w:val="0"/>
                          <w:marTop w:val="0"/>
                          <w:marBottom w:val="0"/>
                          <w:divBdr>
                            <w:top w:val="none" w:sz="0" w:space="0" w:color="auto"/>
                            <w:left w:val="none" w:sz="0" w:space="0" w:color="auto"/>
                            <w:bottom w:val="none" w:sz="0" w:space="0" w:color="auto"/>
                            <w:right w:val="none" w:sz="0" w:space="0" w:color="auto"/>
                          </w:divBdr>
                        </w:div>
                        <w:div w:id="1141850835">
                          <w:marLeft w:val="0"/>
                          <w:marRight w:val="0"/>
                          <w:marTop w:val="0"/>
                          <w:marBottom w:val="0"/>
                          <w:divBdr>
                            <w:top w:val="none" w:sz="0" w:space="0" w:color="auto"/>
                            <w:left w:val="none" w:sz="0" w:space="0" w:color="auto"/>
                            <w:bottom w:val="none" w:sz="0" w:space="0" w:color="auto"/>
                            <w:right w:val="none" w:sz="0" w:space="0" w:color="auto"/>
                          </w:divBdr>
                        </w:div>
                      </w:divsChild>
                    </w:div>
                    <w:div w:id="1861430755">
                      <w:marLeft w:val="0"/>
                      <w:marRight w:val="0"/>
                      <w:marTop w:val="225"/>
                      <w:marBottom w:val="225"/>
                      <w:divBdr>
                        <w:top w:val="none" w:sz="0" w:space="0" w:color="auto"/>
                        <w:left w:val="none" w:sz="0" w:space="0" w:color="auto"/>
                        <w:bottom w:val="none" w:sz="0" w:space="0" w:color="auto"/>
                        <w:right w:val="none" w:sz="0" w:space="0" w:color="auto"/>
                      </w:divBdr>
                      <w:divsChild>
                        <w:div w:id="223881673">
                          <w:marLeft w:val="0"/>
                          <w:marRight w:val="0"/>
                          <w:marTop w:val="0"/>
                          <w:marBottom w:val="0"/>
                          <w:divBdr>
                            <w:top w:val="none" w:sz="0" w:space="0" w:color="auto"/>
                            <w:left w:val="none" w:sz="0" w:space="0" w:color="auto"/>
                            <w:bottom w:val="none" w:sz="0" w:space="0" w:color="auto"/>
                            <w:right w:val="none" w:sz="0" w:space="0" w:color="auto"/>
                          </w:divBdr>
                        </w:div>
                        <w:div w:id="282881948">
                          <w:marLeft w:val="0"/>
                          <w:marRight w:val="0"/>
                          <w:marTop w:val="0"/>
                          <w:marBottom w:val="0"/>
                          <w:divBdr>
                            <w:top w:val="none" w:sz="0" w:space="0" w:color="auto"/>
                            <w:left w:val="none" w:sz="0" w:space="0" w:color="auto"/>
                            <w:bottom w:val="none" w:sz="0" w:space="0" w:color="auto"/>
                            <w:right w:val="none" w:sz="0" w:space="0" w:color="auto"/>
                          </w:divBdr>
                        </w:div>
                      </w:divsChild>
                    </w:div>
                    <w:div w:id="1020862110">
                      <w:marLeft w:val="0"/>
                      <w:marRight w:val="0"/>
                      <w:marTop w:val="225"/>
                      <w:marBottom w:val="225"/>
                      <w:divBdr>
                        <w:top w:val="none" w:sz="0" w:space="0" w:color="auto"/>
                        <w:left w:val="none" w:sz="0" w:space="0" w:color="auto"/>
                        <w:bottom w:val="none" w:sz="0" w:space="0" w:color="auto"/>
                        <w:right w:val="none" w:sz="0" w:space="0" w:color="auto"/>
                      </w:divBdr>
                      <w:divsChild>
                        <w:div w:id="36509708">
                          <w:marLeft w:val="0"/>
                          <w:marRight w:val="0"/>
                          <w:marTop w:val="0"/>
                          <w:marBottom w:val="0"/>
                          <w:divBdr>
                            <w:top w:val="none" w:sz="0" w:space="0" w:color="auto"/>
                            <w:left w:val="none" w:sz="0" w:space="0" w:color="auto"/>
                            <w:bottom w:val="none" w:sz="0" w:space="0" w:color="auto"/>
                            <w:right w:val="none" w:sz="0" w:space="0" w:color="auto"/>
                          </w:divBdr>
                        </w:div>
                        <w:div w:id="1009139881">
                          <w:marLeft w:val="0"/>
                          <w:marRight w:val="0"/>
                          <w:marTop w:val="0"/>
                          <w:marBottom w:val="0"/>
                          <w:divBdr>
                            <w:top w:val="none" w:sz="0" w:space="0" w:color="auto"/>
                            <w:left w:val="none" w:sz="0" w:space="0" w:color="auto"/>
                            <w:bottom w:val="none" w:sz="0" w:space="0" w:color="auto"/>
                            <w:right w:val="none" w:sz="0" w:space="0" w:color="auto"/>
                          </w:divBdr>
                        </w:div>
                      </w:divsChild>
                    </w:div>
                    <w:div w:id="1831748880">
                      <w:marLeft w:val="0"/>
                      <w:marRight w:val="0"/>
                      <w:marTop w:val="225"/>
                      <w:marBottom w:val="225"/>
                      <w:divBdr>
                        <w:top w:val="none" w:sz="0" w:space="0" w:color="auto"/>
                        <w:left w:val="none" w:sz="0" w:space="0" w:color="auto"/>
                        <w:bottom w:val="none" w:sz="0" w:space="0" w:color="auto"/>
                        <w:right w:val="none" w:sz="0" w:space="0" w:color="auto"/>
                      </w:divBdr>
                      <w:divsChild>
                        <w:div w:id="432164524">
                          <w:marLeft w:val="0"/>
                          <w:marRight w:val="0"/>
                          <w:marTop w:val="0"/>
                          <w:marBottom w:val="0"/>
                          <w:divBdr>
                            <w:top w:val="none" w:sz="0" w:space="0" w:color="auto"/>
                            <w:left w:val="none" w:sz="0" w:space="0" w:color="auto"/>
                            <w:bottom w:val="none" w:sz="0" w:space="0" w:color="auto"/>
                            <w:right w:val="none" w:sz="0" w:space="0" w:color="auto"/>
                          </w:divBdr>
                        </w:div>
                        <w:div w:id="1117481971">
                          <w:marLeft w:val="0"/>
                          <w:marRight w:val="0"/>
                          <w:marTop w:val="0"/>
                          <w:marBottom w:val="0"/>
                          <w:divBdr>
                            <w:top w:val="none" w:sz="0" w:space="0" w:color="auto"/>
                            <w:left w:val="none" w:sz="0" w:space="0" w:color="auto"/>
                            <w:bottom w:val="none" w:sz="0" w:space="0" w:color="auto"/>
                            <w:right w:val="none" w:sz="0" w:space="0" w:color="auto"/>
                          </w:divBdr>
                        </w:div>
                      </w:divsChild>
                    </w:div>
                    <w:div w:id="808278452">
                      <w:marLeft w:val="0"/>
                      <w:marRight w:val="0"/>
                      <w:marTop w:val="225"/>
                      <w:marBottom w:val="225"/>
                      <w:divBdr>
                        <w:top w:val="none" w:sz="0" w:space="0" w:color="auto"/>
                        <w:left w:val="none" w:sz="0" w:space="0" w:color="auto"/>
                        <w:bottom w:val="none" w:sz="0" w:space="0" w:color="auto"/>
                        <w:right w:val="none" w:sz="0" w:space="0" w:color="auto"/>
                      </w:divBdr>
                      <w:divsChild>
                        <w:div w:id="67968373">
                          <w:marLeft w:val="0"/>
                          <w:marRight w:val="0"/>
                          <w:marTop w:val="0"/>
                          <w:marBottom w:val="0"/>
                          <w:divBdr>
                            <w:top w:val="none" w:sz="0" w:space="0" w:color="auto"/>
                            <w:left w:val="none" w:sz="0" w:space="0" w:color="auto"/>
                            <w:bottom w:val="none" w:sz="0" w:space="0" w:color="auto"/>
                            <w:right w:val="none" w:sz="0" w:space="0" w:color="auto"/>
                          </w:divBdr>
                        </w:div>
                        <w:div w:id="739015590">
                          <w:marLeft w:val="0"/>
                          <w:marRight w:val="0"/>
                          <w:marTop w:val="0"/>
                          <w:marBottom w:val="0"/>
                          <w:divBdr>
                            <w:top w:val="none" w:sz="0" w:space="0" w:color="auto"/>
                            <w:left w:val="none" w:sz="0" w:space="0" w:color="auto"/>
                            <w:bottom w:val="none" w:sz="0" w:space="0" w:color="auto"/>
                            <w:right w:val="none" w:sz="0" w:space="0" w:color="auto"/>
                          </w:divBdr>
                        </w:div>
                      </w:divsChild>
                    </w:div>
                    <w:div w:id="502471481">
                      <w:marLeft w:val="0"/>
                      <w:marRight w:val="0"/>
                      <w:marTop w:val="225"/>
                      <w:marBottom w:val="225"/>
                      <w:divBdr>
                        <w:top w:val="none" w:sz="0" w:space="0" w:color="auto"/>
                        <w:left w:val="none" w:sz="0" w:space="0" w:color="auto"/>
                        <w:bottom w:val="none" w:sz="0" w:space="0" w:color="auto"/>
                        <w:right w:val="none" w:sz="0" w:space="0" w:color="auto"/>
                      </w:divBdr>
                      <w:divsChild>
                        <w:div w:id="1863280940">
                          <w:marLeft w:val="0"/>
                          <w:marRight w:val="0"/>
                          <w:marTop w:val="0"/>
                          <w:marBottom w:val="0"/>
                          <w:divBdr>
                            <w:top w:val="none" w:sz="0" w:space="0" w:color="auto"/>
                            <w:left w:val="none" w:sz="0" w:space="0" w:color="auto"/>
                            <w:bottom w:val="none" w:sz="0" w:space="0" w:color="auto"/>
                            <w:right w:val="none" w:sz="0" w:space="0" w:color="auto"/>
                          </w:divBdr>
                        </w:div>
                        <w:div w:id="1523206520">
                          <w:marLeft w:val="0"/>
                          <w:marRight w:val="0"/>
                          <w:marTop w:val="0"/>
                          <w:marBottom w:val="0"/>
                          <w:divBdr>
                            <w:top w:val="none" w:sz="0" w:space="0" w:color="auto"/>
                            <w:left w:val="none" w:sz="0" w:space="0" w:color="auto"/>
                            <w:bottom w:val="none" w:sz="0" w:space="0" w:color="auto"/>
                            <w:right w:val="none" w:sz="0" w:space="0" w:color="auto"/>
                          </w:divBdr>
                        </w:div>
                      </w:divsChild>
                    </w:div>
                    <w:div w:id="1028606338">
                      <w:marLeft w:val="0"/>
                      <w:marRight w:val="0"/>
                      <w:marTop w:val="225"/>
                      <w:marBottom w:val="225"/>
                      <w:divBdr>
                        <w:top w:val="none" w:sz="0" w:space="0" w:color="auto"/>
                        <w:left w:val="none" w:sz="0" w:space="0" w:color="auto"/>
                        <w:bottom w:val="none" w:sz="0" w:space="0" w:color="auto"/>
                        <w:right w:val="none" w:sz="0" w:space="0" w:color="auto"/>
                      </w:divBdr>
                      <w:divsChild>
                        <w:div w:id="2084570831">
                          <w:marLeft w:val="0"/>
                          <w:marRight w:val="0"/>
                          <w:marTop w:val="0"/>
                          <w:marBottom w:val="0"/>
                          <w:divBdr>
                            <w:top w:val="none" w:sz="0" w:space="0" w:color="auto"/>
                            <w:left w:val="none" w:sz="0" w:space="0" w:color="auto"/>
                            <w:bottom w:val="none" w:sz="0" w:space="0" w:color="auto"/>
                            <w:right w:val="none" w:sz="0" w:space="0" w:color="auto"/>
                          </w:divBdr>
                        </w:div>
                        <w:div w:id="760417346">
                          <w:marLeft w:val="0"/>
                          <w:marRight w:val="0"/>
                          <w:marTop w:val="0"/>
                          <w:marBottom w:val="0"/>
                          <w:divBdr>
                            <w:top w:val="none" w:sz="0" w:space="0" w:color="auto"/>
                            <w:left w:val="none" w:sz="0" w:space="0" w:color="auto"/>
                            <w:bottom w:val="none" w:sz="0" w:space="0" w:color="auto"/>
                            <w:right w:val="none" w:sz="0" w:space="0" w:color="auto"/>
                          </w:divBdr>
                        </w:div>
                      </w:divsChild>
                    </w:div>
                    <w:div w:id="417797188">
                      <w:marLeft w:val="0"/>
                      <w:marRight w:val="0"/>
                      <w:marTop w:val="225"/>
                      <w:marBottom w:val="225"/>
                      <w:divBdr>
                        <w:top w:val="none" w:sz="0" w:space="0" w:color="auto"/>
                        <w:left w:val="none" w:sz="0" w:space="0" w:color="auto"/>
                        <w:bottom w:val="none" w:sz="0" w:space="0" w:color="auto"/>
                        <w:right w:val="none" w:sz="0" w:space="0" w:color="auto"/>
                      </w:divBdr>
                      <w:divsChild>
                        <w:div w:id="2205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280649">
      <w:bodyDiv w:val="1"/>
      <w:marLeft w:val="0"/>
      <w:marRight w:val="0"/>
      <w:marTop w:val="0"/>
      <w:marBottom w:val="0"/>
      <w:divBdr>
        <w:top w:val="none" w:sz="0" w:space="0" w:color="auto"/>
        <w:left w:val="none" w:sz="0" w:space="0" w:color="auto"/>
        <w:bottom w:val="none" w:sz="0" w:space="0" w:color="auto"/>
        <w:right w:val="none" w:sz="0" w:space="0" w:color="auto"/>
      </w:divBdr>
      <w:divsChild>
        <w:div w:id="1747531705">
          <w:marLeft w:val="0"/>
          <w:marRight w:val="0"/>
          <w:marTop w:val="0"/>
          <w:marBottom w:val="0"/>
          <w:divBdr>
            <w:top w:val="none" w:sz="0" w:space="0" w:color="auto"/>
            <w:left w:val="none" w:sz="0" w:space="0" w:color="auto"/>
            <w:bottom w:val="none" w:sz="0" w:space="0" w:color="auto"/>
            <w:right w:val="none" w:sz="0" w:space="0" w:color="auto"/>
          </w:divBdr>
          <w:divsChild>
            <w:div w:id="2094356789">
              <w:marLeft w:val="0"/>
              <w:marRight w:val="0"/>
              <w:marTop w:val="0"/>
              <w:marBottom w:val="0"/>
              <w:divBdr>
                <w:top w:val="none" w:sz="0" w:space="0" w:color="auto"/>
                <w:left w:val="none" w:sz="0" w:space="0" w:color="auto"/>
                <w:bottom w:val="none" w:sz="0" w:space="0" w:color="auto"/>
                <w:right w:val="none" w:sz="0" w:space="0" w:color="auto"/>
              </w:divBdr>
            </w:div>
          </w:divsChild>
        </w:div>
        <w:div w:id="1740245689">
          <w:marLeft w:val="0"/>
          <w:marRight w:val="0"/>
          <w:marTop w:val="0"/>
          <w:marBottom w:val="0"/>
          <w:divBdr>
            <w:top w:val="none" w:sz="0" w:space="0" w:color="auto"/>
            <w:left w:val="none" w:sz="0" w:space="0" w:color="auto"/>
            <w:bottom w:val="none" w:sz="0" w:space="0" w:color="auto"/>
            <w:right w:val="none" w:sz="0" w:space="0" w:color="auto"/>
          </w:divBdr>
          <w:divsChild>
            <w:div w:id="1388605841">
              <w:marLeft w:val="0"/>
              <w:marRight w:val="0"/>
              <w:marTop w:val="0"/>
              <w:marBottom w:val="0"/>
              <w:divBdr>
                <w:top w:val="none" w:sz="0" w:space="0" w:color="auto"/>
                <w:left w:val="none" w:sz="0" w:space="0" w:color="auto"/>
                <w:bottom w:val="none" w:sz="0" w:space="0" w:color="auto"/>
                <w:right w:val="none" w:sz="0" w:space="0" w:color="auto"/>
              </w:divBdr>
            </w:div>
          </w:divsChild>
        </w:div>
        <w:div w:id="374735718">
          <w:marLeft w:val="0"/>
          <w:marRight w:val="0"/>
          <w:marTop w:val="0"/>
          <w:marBottom w:val="0"/>
          <w:divBdr>
            <w:top w:val="none" w:sz="0" w:space="0" w:color="auto"/>
            <w:left w:val="none" w:sz="0" w:space="0" w:color="auto"/>
            <w:bottom w:val="none" w:sz="0" w:space="0" w:color="auto"/>
            <w:right w:val="none" w:sz="0" w:space="0" w:color="auto"/>
          </w:divBdr>
          <w:divsChild>
            <w:div w:id="1932464997">
              <w:marLeft w:val="0"/>
              <w:marRight w:val="0"/>
              <w:marTop w:val="0"/>
              <w:marBottom w:val="0"/>
              <w:divBdr>
                <w:top w:val="none" w:sz="0" w:space="0" w:color="auto"/>
                <w:left w:val="none" w:sz="0" w:space="0" w:color="auto"/>
                <w:bottom w:val="none" w:sz="0" w:space="0" w:color="auto"/>
                <w:right w:val="none" w:sz="0" w:space="0" w:color="auto"/>
              </w:divBdr>
            </w:div>
          </w:divsChild>
        </w:div>
        <w:div w:id="2108963803">
          <w:marLeft w:val="0"/>
          <w:marRight w:val="0"/>
          <w:marTop w:val="0"/>
          <w:marBottom w:val="0"/>
          <w:divBdr>
            <w:top w:val="none" w:sz="0" w:space="0" w:color="auto"/>
            <w:left w:val="none" w:sz="0" w:space="0" w:color="auto"/>
            <w:bottom w:val="none" w:sz="0" w:space="0" w:color="auto"/>
            <w:right w:val="none" w:sz="0" w:space="0" w:color="auto"/>
          </w:divBdr>
          <w:divsChild>
            <w:div w:id="19134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yprolidi.cz/cs/2004-561/zneni-20250301" TargetMode="External"/><Relationship Id="rId13" Type="http://schemas.openxmlformats.org/officeDocument/2006/relationships/hyperlink" Target="https://www.zakonyprolidi.cz/cs/1999-106?text=obchodn%C3%AD%20tajemstv%C3%A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zakonyprolidi.cz/cs/2004-561/zneni-20250301" TargetMode="External"/><Relationship Id="rId12" Type="http://schemas.openxmlformats.org/officeDocument/2006/relationships/hyperlink" Target="https://www.zakonyprolidi.cz/cs/2004-561/zneni-20250301" TargetMode="External"/><Relationship Id="rId17" Type="http://schemas.openxmlformats.org/officeDocument/2006/relationships/hyperlink" Target="https://portal.gov.cz/kam-dal/pro-urady-ovm/centralni-registr-vyrocnich-zprav" TargetMode="External"/><Relationship Id="rId2" Type="http://schemas.openxmlformats.org/officeDocument/2006/relationships/styles" Target="styles.xml"/><Relationship Id="rId16" Type="http://schemas.openxmlformats.org/officeDocument/2006/relationships/hyperlink" Target="https://www.zakonyprolidi.cz/cs/1999-106?text=obchodn%C3%AD%20tajemstv%C3%AD" TargetMode="External"/><Relationship Id="rId1" Type="http://schemas.openxmlformats.org/officeDocument/2006/relationships/numbering" Target="numbering.xml"/><Relationship Id="rId6" Type="http://schemas.openxmlformats.org/officeDocument/2006/relationships/hyperlink" Target="https://www.zakonyprolidi.cz/cs/2005-15" TargetMode="External"/><Relationship Id="rId11" Type="http://schemas.openxmlformats.org/officeDocument/2006/relationships/hyperlink" Target="https://www.zakonyprolidi.cz/cs/2004-561/zneni-20250301" TargetMode="External"/><Relationship Id="rId5" Type="http://schemas.openxmlformats.org/officeDocument/2006/relationships/hyperlink" Target="https://www.zakonyprolidi.cz/cs/2004-561/zneni-20250301" TargetMode="External"/><Relationship Id="rId15" Type="http://schemas.openxmlformats.org/officeDocument/2006/relationships/hyperlink" Target="https://www.zakonyprolidi.cz/cs/1999-106?text=obchodn%C3%AD%20tajemstv%C3%AD" TargetMode="External"/><Relationship Id="rId10" Type="http://schemas.openxmlformats.org/officeDocument/2006/relationships/hyperlink" Target="https://www.zakonyprolidi.cz/cs/2004-561/zneni-2025030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zakonyprolidi.cz/cs/2005-15" TargetMode="External"/><Relationship Id="rId14" Type="http://schemas.openxmlformats.org/officeDocument/2006/relationships/hyperlink" Target="https://www.zakonyprolidi.cz/cs/1999-106"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1658</Words>
  <Characters>9789</Characters>
  <Application>Microsoft Office Word</Application>
  <DocSecurity>0</DocSecurity>
  <Lines>81</Lines>
  <Paragraphs>22</Paragraphs>
  <ScaleCrop>false</ScaleCrop>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2025-06-01T09:13:00Z</dcterms:created>
  <dcterms:modified xsi:type="dcterms:W3CDTF">2025-06-01T09:18:00Z</dcterms:modified>
</cp:coreProperties>
</file>