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1B1" w:rsidRPr="005311B1" w:rsidRDefault="005311B1" w:rsidP="005311B1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</w:pPr>
      <w:r w:rsidRPr="005311B1"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  <w:t>OD LEDNA 2026 SE MĚNÍ PODPORA OBECNÍCH A KRAJSKÝCH ŠKOL</w:t>
      </w:r>
    </w:p>
    <w:p w:rsidR="005311B1" w:rsidRPr="005311B1" w:rsidRDefault="005311B1" w:rsidP="005311B1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5311B1" w:rsidRPr="005311B1" w:rsidRDefault="005311B1" w:rsidP="005311B1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Od roku 2026 dochází k zásadní změně ve financování nepedagogických pozic a dalších provozních výdajů škol. Stát předává tuto část odpovědnosti na kraje a obce, a zároveň jim přenechává odpovídající daňové příjmy. Cílem změny je posílení předvídatelnosti a odpovědnosti v rámci veřejné správy.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Co se mění od roku 2026?</w:t>
      </w:r>
    </w:p>
    <w:p w:rsidR="005311B1" w:rsidRPr="005311B1" w:rsidRDefault="005311B1" w:rsidP="005311B1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Kraje a obce nově samy zajišťují financování nepedagogických pracovníků a části provozu škol a školských zařízení, které zřizují.</w:t>
      </w:r>
    </w:p>
    <w:p w:rsidR="005311B1" w:rsidRPr="005311B1" w:rsidRDefault="005311B1" w:rsidP="005311B1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Stát jim k tomu účelu přenechá přibližně </w:t>
      </w: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33,5 miliardy korun z daňových příjmů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311B1" w:rsidRPr="005311B1" w:rsidRDefault="005311B1" w:rsidP="005311B1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Změna se týká </w:t>
      </w: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mateřských, základních i středních škol, ale i ZUŠ, domovů mládeže či středisek volného času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311B1" w:rsidRPr="005311B1" w:rsidRDefault="005311B1" w:rsidP="005311B1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Obce s malým počtem žáků získají dočasné zvýhodnění, svazkové školy pak trvalou finanční výhodu.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Co to přinese obcím a krajům?</w:t>
      </w:r>
    </w:p>
    <w:p w:rsidR="005311B1" w:rsidRPr="005311B1" w:rsidRDefault="005311B1" w:rsidP="005311B1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Předvídatelnost příjmů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navázání na rozpočtové určení daní znamená každoroční růst podle ekonomického vývoje.</w:t>
      </w:r>
    </w:p>
    <w:p w:rsidR="005311B1" w:rsidRPr="005311B1" w:rsidRDefault="005311B1" w:rsidP="005311B1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Možnost ovlivnit fungování vlastních škol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větší prostor pro rozhodování a strategické plánování.</w:t>
      </w:r>
    </w:p>
    <w:p w:rsidR="005311B1" w:rsidRPr="005311B1" w:rsidRDefault="005311B1" w:rsidP="005311B1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Motivaci ke spolupráci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podpora svazkových škol a sdílení zdrojů mezi obcemi.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Výpočet a kalkulačka příjmů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Ministerstvo školství zveřejnilo orientační </w:t>
      </w: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kalkulačku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která zřizovatelům umožní zjistit, s jakým objemem financí mohou v roce 2026 počítat. Nástroj ukazuje nejen výši příjmů, ale i strukturu dětí a žáků v jednotlivých typech škol.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Důležité souvislosti</w:t>
      </w:r>
    </w:p>
    <w:p w:rsidR="005311B1" w:rsidRPr="005311B1" w:rsidRDefault="005311B1" w:rsidP="005311B1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Školy nadále zůstávají </w:t>
      </w: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veřejnou službou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změna financování nijak nemění zákonné odpovědnosti obcí a krajů.</w:t>
      </w:r>
    </w:p>
    <w:p w:rsidR="005311B1" w:rsidRPr="005311B1" w:rsidRDefault="005311B1" w:rsidP="005311B1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Přechod je připraven tak, aby nebyl </w:t>
      </w: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náhlý ani skokový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menší obce získají dočasnou kompenzaci, kalkulace příjmů vychází ze současné praxe.</w:t>
      </w:r>
    </w:p>
    <w:p w:rsidR="005311B1" w:rsidRPr="005311B1" w:rsidRDefault="005311B1" w:rsidP="005311B1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Klíčové bude nastavení férové a včasné komunikace mezi </w:t>
      </w: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zřizovateli a školami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Další kroky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Obce a kraje nyní analyzují svá data a zahajují plánování rozpočtů pro rok 2026.</w:t>
      </w:r>
      <w:r w:rsidRPr="005311B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MŠMT je připraveno poskytovat metodickou podporu a odpovídat na praktické dotazy. Využijte také zveřejněnou kalkulačku a aktuální informační materiály.</w:t>
      </w:r>
    </w:p>
    <w:p w:rsidR="005311B1" w:rsidRPr="005311B1" w:rsidRDefault="005311B1" w:rsidP="005311B1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11B1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Tato změna je příležitostí k efektivnějšímu nastavení veřejného školství – nikoliv jen úpravou čísel, ale impulzem pro promyšlenou spolupráci.</w:t>
      </w:r>
    </w:p>
    <w:p w:rsidR="005311B1" w:rsidRDefault="005311B1"/>
    <w:p w:rsidR="005311B1" w:rsidRDefault="005311B1"/>
    <w:p w:rsidR="005311B1" w:rsidRDefault="005311B1"/>
    <w:p w:rsidR="005311B1" w:rsidRDefault="005311B1"/>
    <w:p w:rsidR="005311B1" w:rsidRDefault="005311B1"/>
    <w:p w:rsidR="005311B1" w:rsidRDefault="005311B1"/>
    <w:p w:rsidR="005311B1" w:rsidRDefault="005311B1"/>
    <w:p w:rsidR="005311B1" w:rsidRDefault="005311B1"/>
    <w:p w:rsidR="005311B1" w:rsidRDefault="005311B1">
      <w:bookmarkStart w:id="0" w:name="_GoBack"/>
      <w:bookmarkEnd w:id="0"/>
    </w:p>
    <w:p w:rsidR="00704B05" w:rsidRPr="005311B1" w:rsidRDefault="005311B1" w:rsidP="005311B1">
      <w:pPr>
        <w:jc w:val="right"/>
        <w:rPr>
          <w:b/>
        </w:rPr>
      </w:pPr>
      <w:r w:rsidRPr="005311B1">
        <w:rPr>
          <w:b/>
        </w:rPr>
        <w:t>www.msmt.cz</w:t>
      </w:r>
    </w:p>
    <w:sectPr w:rsidR="00704B05" w:rsidRPr="00531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86F2F"/>
    <w:multiLevelType w:val="multilevel"/>
    <w:tmpl w:val="6B46C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9913B8"/>
    <w:multiLevelType w:val="multilevel"/>
    <w:tmpl w:val="7F463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722E8A"/>
    <w:multiLevelType w:val="multilevel"/>
    <w:tmpl w:val="3254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1B1"/>
    <w:rsid w:val="005311B1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934BCD"/>
  <w15:chartTrackingRefBased/>
  <w15:docId w15:val="{56980E80-7C61-DE44-84C3-1E662CD7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311B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311B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311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311B1"/>
    <w:rPr>
      <w:b/>
      <w:bCs/>
    </w:rPr>
  </w:style>
  <w:style w:type="character" w:customStyle="1" w:styleId="apple-converted-space">
    <w:name w:val="apple-converted-space"/>
    <w:basedOn w:val="Standardnpsmoodstavce"/>
    <w:rsid w:val="005311B1"/>
  </w:style>
  <w:style w:type="paragraph" w:styleId="Textbubliny">
    <w:name w:val="Balloon Text"/>
    <w:basedOn w:val="Normln"/>
    <w:link w:val="TextbublinyChar"/>
    <w:uiPriority w:val="99"/>
    <w:semiHidden/>
    <w:unhideWhenUsed/>
    <w:rsid w:val="005311B1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11B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1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348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830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2025-11-20T17:42:00Z</dcterms:created>
  <dcterms:modified xsi:type="dcterms:W3CDTF">2025-11-20T17:44:00Z</dcterms:modified>
</cp:coreProperties>
</file>