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i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Kritéria hodnocení podmínek, průběhu a výsledků vzdělávání na školní rok 2014/2015, </w:t>
      </w:r>
      <w:r w:rsidRPr="005626DC">
        <w:rPr>
          <w:rFonts w:ascii="Times New Roman" w:hAnsi="Times New Roman" w:cs="Times New Roman"/>
          <w:b/>
          <w:i/>
          <w:iCs/>
          <w:color w:val="0000FF"/>
          <w:sz w:val="20"/>
          <w:szCs w:val="20"/>
        </w:rPr>
        <w:t xml:space="preserve">Čj.: ČŠIG-2500/14-G2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>(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Jednotlivá kritéria se využijí v návaznosti na charakter posuzované školy nebo školského zařízení. Kritéria jsou vždy uplatňována ve vzájemné souvislosti)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1. Rovný přístup ke vzdělávání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</w:rPr>
        <w:t xml:space="preserve">-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Škola/školské zařízení pravdivě informuje o vzdělávací nabídce a postupu při přijímání ke vzdělávání způsobem dostupným všem uchazečům, přijímání uchazečů je v souladu s platnými předpisy.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správně identifikuje a eviduje (v dokumentaci školy/školského zařízení) děti a žáky se speciálními vzdělávacími potřebami, cizince a děti a žáky nadané.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ve spolupráci se školskými poradenskými zařízeními poskytuje informace a poradenskou pomoc v záležitostech týkajících se vzdělávání.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zajišťuje pomoc při změně vzdělávacího programu, přijímá a realizuje opatření k odstranění sociálních, zdravotní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a bezpečnostních bariér v průběhu vzdělávání, zajišťuje systematickou podporu žákům se SVP.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převádí žáky se SVP do jiného vzdělávacího programu v souladu s právními předpisy.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při realizaci vzdělávání zohledňuje individuální vzdělávací potřeby všech dětí a žáků.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>- Škola/školské zařízení má účinné preventivní nástroje zaměřené na omezení školních úrazů, školní neúspěšnosti a rizikového chování (zejména šikany, zneužívání návykových látek, záškoláctví, projevů agrese proti PP a žákům), průběžně sleduje a vyhodnocuje výsledky jejich uplatňování.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2 odst. 1 písm. a) a b)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Zásady a cíle vzdělávání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5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Školní vzdělávací programy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16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Vzdělávání dětí, žáků a studentů se speciálními vzdělávacími potřebami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17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Vzdělávání nadaných dětí, žáků a studentů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20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Vzdělávání cizinců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29 odst. 1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Bezpečnost a ochrana zdraví ve školách a školských zařízeních,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30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Školní řád, vnitřní řád a stipendijní řád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a § 49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Průběh základního vzdělávání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školského zákona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3)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Vyhláška č. 48/2005 </w:t>
      </w:r>
      <w:proofErr w:type="gramStart"/>
      <w:r w:rsidRPr="005626DC">
        <w:rPr>
          <w:rFonts w:ascii="Times New Roman" w:hAnsi="Times New Roman" w:cs="Times New Roman"/>
          <w:color w:val="0000FF"/>
          <w:sz w:val="20"/>
          <w:szCs w:val="20"/>
        </w:rPr>
        <w:t>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4)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</w:t>
      </w:r>
      <w:proofErr w:type="gramEnd"/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č. 73/2005 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5)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72/2005 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6)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antidiskriminační zákon,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7)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Úmluva o právech dítěte,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8)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příslušné RVP, § 150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Výmaz z rejstříku škol a školských zařízení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</w:rPr>
        <w:t xml:space="preserve">MŠ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34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Organizace předškolního vzdělávání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</w:rPr>
        <w:t xml:space="preserve">ZŠ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36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Plnění povinnosti školní docházky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a § 37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Odklad povinné školní docházky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zákona, § 15 odst. 9 vyhlášky č. 48/2005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</w:rPr>
        <w:t>SŠ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</w:rPr>
        <w:t xml:space="preserve">konzervatoře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60 až 64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Přijímání ke vzdělávání ve střední škole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72 a násl.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Ukončování středního vzdělávání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88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Přijímání ke vzdělávání v konzervatoři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90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Absolutorium v konzervatoři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školského zákona, vyhláška č. 671/2004 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9)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177/2009 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10)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47/2005 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11)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13/2005 </w:t>
      </w:r>
      <w:proofErr w:type="gramStart"/>
      <w:r w:rsidRPr="005626DC">
        <w:rPr>
          <w:rFonts w:ascii="Times New Roman" w:hAnsi="Times New Roman" w:cs="Times New Roman"/>
          <w:color w:val="0000FF"/>
          <w:sz w:val="20"/>
          <w:szCs w:val="20"/>
        </w:rPr>
        <w:t>Sb.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12</w:t>
      </w:r>
      <w:proofErr w:type="gramEnd"/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DZ ČR (2011 – 2015)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2. </w:t>
      </w: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Školní vzdělávací programy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poskytuje vzdělávání a školské služby v souladu s platným školským zákonem, nabídka školy odpovídá zápisu oborů vzdělání do rejstříku škol a školských zařízení.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ŠVP jsou zpracovány z hlediska cílů, plánovaných aktivit a očekávaných výstupů podle školského zákona a RVP.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Vzdělávací nabídka školy/školského zařízení zohledňuje reálné podmínky a možnosti školy/školského zařízení a vnější vlivy (sociální, regionální).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ŠVP je naplňován v souladu s požadavky příslušného RVP.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Změny a inovace ŠVP vznikají na základě legislativních změn, úprav RVP a praxe, přijímaná opatření vycházejí ze zásad a cílů platného školského zákona a priorit rozvoje vzdělávání vyjádřených např. v DZ a DZK.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Vzdělávací nabídka střední školy umožňuje vertikální i horizontální prostupnost oborů vzdělání.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5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Školní vzdělávací programy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142 odst. 1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Účinky zápisu do rejstříku škol a školských zařízení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Vyhláška č. 74/2005 </w:t>
      </w:r>
      <w:proofErr w:type="gramStart"/>
      <w:r w:rsidRPr="005626DC">
        <w:rPr>
          <w:rFonts w:ascii="Times New Roman" w:hAnsi="Times New Roman" w:cs="Times New Roman"/>
          <w:color w:val="0000FF"/>
          <w:sz w:val="20"/>
          <w:szCs w:val="20"/>
        </w:rPr>
        <w:t>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13</w:t>
      </w:r>
      <w:proofErr w:type="gramEnd"/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108/2005 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14)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příslušné RVP, § 150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Výmaz z rejstříku škol a školských zařízení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3. </w:t>
      </w: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Řízení školy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splňuje požadavky na odbornou a pedagogickou úroveň poskytovaného vzdělávání a školských služeb.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pravdivě vykazuje údaje o činnosti (např. výkaznictví, výroční zpráva).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lastRenderedPageBreak/>
        <w:t xml:space="preserve">- Úroveň řízení odpovídá typu školy/školského zařízení, její/jeho velikosti a personálnímu složení, rozhodovací pravomoci jsou sladěny s následnými výkonnými kompetencemi a příslušnými zdroji.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má stanoveny jasné a měřitelné cíle, ze kterých vychází systém plánování.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Na strategickém řízení a pravidelném hodnocení školy/školského zařízení se podílejí další pracovníci školy/školského zařízení (pedagogická rada, metodické orgány, výchovný poradce, metodik prevence, apod.).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má vytvořeny kontrolní a hodnoticí mechanizmy sloužící k posouzení dosažených výsledků. Přijímá opatření pro zlepšení, inovuje cíle a plány.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Organizační struktura vyhovuje aktuálním potřebám a strategickým záměrům rozvoje školy/školského zařízení, ve vnitřních normách (např. školní řád) jsou dobře popsána práva a povinnosti všech účastníků vzdělávání, jejich dodržování se pravidelně monitoruje a vyhodnocuje (např. v pedagogické radě).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monitoruje a vyhodnocuje sociální klima školy/školského zařízení a klima třídy/skupiny v oblasti primární prevence a vlivu na podmínky, průběh a výsledky vzdělávání.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zajišťuje dohled nad dětmi a nezletilými žáky.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zajišťuje spolupráci při uskutečňování programů zjišťování výsledků vzdělávání vyhlášených Ministerstvem školství, mládeže a tělovýchovy ČR.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pracuje s výsledky hodnocení České školní inspekce, v případě zjištěných nedostatků přijímá a realizuje opatření k jejich odstranění.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10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Výroční zprávy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12 odst. 2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Hodnocení škol, školských zařízení a vzdělávací soustavy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28 odst. 5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Dokumentace škol a školských zařízení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30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Školní řád, vnitřní řád a stipendijní řád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a § 164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Ředitel školy a školského zařízení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150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Výmaz z rejstříku škol a školských zařízení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4. Personální podmínky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</w:t>
      </w:r>
      <w:bookmarkStart w:id="0" w:name="_GoBack"/>
      <w:bookmarkEnd w:id="0"/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Škola/školské zařízení přijímá opatření k omezování personálních rizik (např. kvalifikovanost, věková struktura, fluktuace).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systematicky podporuje začínající PP do 3 let praxe.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Školní systém odměňování PP podporuje realizaci ŠVP.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Struktura využití pracovní doby PP a jejího naplňování je v souladu s platnými předpisy (např. přímá a nepřímá pedagogická činnost).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vytváří podmínky pro další vzdělávání pedagogických pracovníků, školní systém DVPP prioritně podporuje realizaci ŠVP, u všech PP zejména podporuje zlepšení informační gramotnosti a schopnosti komunikace v CJ, osvojení metod hodnocení, možnost rozšíření specializací PP (např. výchovný poradce, koordinátor ICT, koordinátor ŠVP, speciální pedagog, školní metodik prevence).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podporuje mobilitu PP (např. zahraniční stáže, LEONARDO, výměnné pobyty).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164 odst. 1 písm. c) a e)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Ředitel školy a školského zařízení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zákona, zákon o pedagogických pracovnících15)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Vyhláška č. 317/2005 </w:t>
      </w:r>
      <w:proofErr w:type="gramStart"/>
      <w:r w:rsidRPr="005626DC">
        <w:rPr>
          <w:rFonts w:ascii="Times New Roman" w:hAnsi="Times New Roman" w:cs="Times New Roman"/>
          <w:color w:val="0000FF"/>
          <w:sz w:val="20"/>
          <w:szCs w:val="20"/>
        </w:rPr>
        <w:t>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16</w:t>
      </w:r>
      <w:proofErr w:type="gramEnd"/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nařízení vlády č. 75/2005 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17)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příslušné RVP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5. </w:t>
      </w: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Materiální předpoklady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zajišťuje bezpečné prostředí pro vzdělávání a zdravý sociální, psychický i fyzický vývoj dětí a žáků při všech činnostech pořádaných školou/školským zařízením.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realizuje opatření k udržení a zlepšování prostorových podmínek pro vzdělávání v souladu s oborovou skladbou a předpisy BOZ, PO, splňuje požadavky na bezbariérovost.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zajišťuje obnovu a rozvoj materiálně-technických podmínek pro realizaci ŠVP v souladu s RVP.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zajišťuje obnovu a modernizaci vybavenosti ICT a jejich vhodné využívání ve výuce a v administrativě.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průběžně zkvalitňuje vybavení potřebné k praktické výuce, zajišťuje modernizaci přístrojů a techniky a jejich vhodné a efektivní využívání ve výuce.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průběžně zkvalitňuje vybavení potřebné k výuce tělesné výchovy a zajišťuje jeho efektivní využívání ve výuce.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29 odst. 1 a 2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Bezpečnost a ochrana zdraví ve školách a školských zařízeních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lastRenderedPageBreak/>
        <w:t xml:space="preserve">Vyhláška č. 410/2005 </w:t>
      </w:r>
      <w:proofErr w:type="gramStart"/>
      <w:r w:rsidRPr="005626DC">
        <w:rPr>
          <w:rFonts w:ascii="Times New Roman" w:hAnsi="Times New Roman" w:cs="Times New Roman"/>
          <w:color w:val="0000FF"/>
          <w:sz w:val="20"/>
          <w:szCs w:val="20"/>
        </w:rPr>
        <w:t>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18</w:t>
      </w:r>
      <w:proofErr w:type="gramEnd"/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příslušné RVP, § 150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Výmaz z rejstříku škol a školských zařízení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23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Organizace škol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</w:rPr>
        <w:t xml:space="preserve">MŠ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vyhláška č. 14/2005 </w:t>
      </w:r>
      <w:proofErr w:type="gramStart"/>
      <w:r w:rsidRPr="005626DC">
        <w:rPr>
          <w:rFonts w:ascii="Times New Roman" w:hAnsi="Times New Roman" w:cs="Times New Roman"/>
          <w:color w:val="0000FF"/>
          <w:sz w:val="20"/>
          <w:szCs w:val="20"/>
        </w:rPr>
        <w:t>Sb.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19</w:t>
      </w:r>
      <w:proofErr w:type="gramEnd"/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</w:rPr>
        <w:t xml:space="preserve">ZŠ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vyhláška č. 48/2005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</w:rPr>
        <w:t>SŠ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</w:rPr>
        <w:t xml:space="preserve">konzervatoře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vyhláška č. 13/2005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6. </w:t>
      </w: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Finanční předpoklady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Škola/školské zařízení používá efektivně a hospodárně finanční prostředky přidělené ze státního rozpočtu v souladu se ŠVP a s účelem, na který byly přiděleny.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určuje priority podle rozpočtových možností, sleduje dílčí výdaje školy ve vybraných oblastech podle priorit DZ, DZK (provázání rozpočtu se strategickými prioritami); koncepční záměry rozvoje školy jsou schváleny a podporovány zřizovatelem.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vhodně využívá možnosti rozvojových projektů MŠMT, projektů ESF (např. OP VK, krajské globální granty apod.) a dalších činností.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Na financování školy/školského zařízení se podílí další fyzické nebo právnické osoby v souladu s platnými předpisy (podíl příspěvku z rozpočtu zřizovatele, sponzorských darů, plateb rodičů a žáků).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160 až 163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Financování škol a školských zařízení ze státního rozpočtu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zákona, zákon č. 306/1999 </w:t>
      </w:r>
      <w:proofErr w:type="gramStart"/>
      <w:r w:rsidRPr="005626DC">
        <w:rPr>
          <w:rFonts w:ascii="Times New Roman" w:hAnsi="Times New Roman" w:cs="Times New Roman"/>
          <w:color w:val="0000FF"/>
          <w:sz w:val="20"/>
          <w:szCs w:val="20"/>
        </w:rPr>
        <w:t>Sb.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20</w:t>
      </w:r>
      <w:proofErr w:type="gramEnd"/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Zákon č. 563/1991 </w:t>
      </w:r>
      <w:proofErr w:type="gramStart"/>
      <w:r w:rsidRPr="005626DC">
        <w:rPr>
          <w:rFonts w:ascii="Times New Roman" w:hAnsi="Times New Roman" w:cs="Times New Roman"/>
          <w:color w:val="0000FF"/>
          <w:sz w:val="20"/>
          <w:szCs w:val="20"/>
        </w:rPr>
        <w:t>Sb.,</w:t>
      </w:r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21</w:t>
      </w:r>
      <w:proofErr w:type="gramEnd"/>
      <w:r w:rsidRPr="005626DC">
        <w:rPr>
          <w:rFonts w:ascii="Times New Roman" w:hAnsi="Times New Roman" w:cs="Times New Roman"/>
          <w:color w:val="0000FF"/>
          <w:sz w:val="20"/>
          <w:szCs w:val="20"/>
          <w:vertAlign w:val="superscript"/>
        </w:rPr>
        <w:t>)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§ 23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Organizace škol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a vyhláška č. 14/2005 Sb., vyhláška č. 48/2005 Sb., vyhláška č. 13/2005 Sb., § 150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Výmaz z rejstříku škol a školských zařízen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í 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7. </w:t>
      </w: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Efektivní organizace vzdělávání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naplňuje učební plány podle schválených ŠVP v souladu se školským zákonem a RVP.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="002C7CE8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Organizace vzdělávání, volba vhodných vyučovacích metod a forem práce účinně podporují naplňování ŠVP.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Využití disponibilních hodin, nabídka nepovinných a volitelných vyučovacích předmětů je v souladu s profilací stanovenou ŠVP a podporuje úspěšnost žáka.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organizuje teoretické a praktické vyučování v souladu s právními předpisy (začátek a konec vyučování, počet vyučovacích hodin v jednom dni, zařazení a délka přestávek, smlouvy o obsahu, rozsahu a podmínkách praktického vyučování, počty žáků ve třídách, odděleních a skupinách).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Praktické vyučování škola zajišťuje také v reálném pracovním prostředí ve spolupráci se zaměstnavatelskou sférou.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pro děti a žáky se SVP, cizince a děti a žáky nadané organizuje vzdělávání formami, které odpovídají jejich potřebám.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má koncepci domácí přípravy žáků ve spolupráci s rodinou (účinná podpora rozvoje vzdělávání žáků, spolupráce s rodinou).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zajišťuje včasnou podporu dětem a žákům s riziky školní neúspěšnosti (opatření k vyrovnání vývoje dětí s odkladem povinné školní docházky, doučování, opatření v případě selhání spolupráce s rodinou, opatření vedení školy směrem k pedagogům při nezohledňování vzdělávacích potřeb jednotlivce atd.).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7 odst. 2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Vzdělávací soustava, školy a školská zařízení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16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Vzdělávání dětí, žáků a studentů se speciálními vzdělávacími potřebami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a § 17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Vzdělávání nadaných dětí, žáků a studentů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Příslušné RVP, § 34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Organizace předškolního vzdělávání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46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Organizace základního vzdělávání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65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Organizace středního vzdělávání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zákona, vyhláška č. 73/2005 Sb., vyhláška č. 14/2005 Sb., vyhláška č. 48/2005 Sb., vyhláška č. 13/2005 Sb., § 150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Výmaz z rejstříku škol a školských zařízení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8. </w:t>
      </w: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Účinná podpora rozvoje osobnosti dětí a žáků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Formy vzdělávání umožňují zdokonalování procesu vzdělávání na základě výsledků dosažených ve vědě, výzkumu a vývoji.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V průběhu vzdělávání jsou uplatňovány účinné moderní pedagogické metody a přístupy.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Aktivity při vzdělávání podporují rozvoj klíčových kompetencí dětí a žáků podle požadavků RVP.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PP motivují děti a žáky k využívání různých vzdělávacích a zájmových aktivit včetně odborných soutěží a přehlídek apod.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PP diferencují nároky a požadavky podle schopností a možností dětí nebo žáků.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="002C7CE8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PP vedou děti nebo žáky k samostatné práci a uplatňují individualizovanou výuku.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lastRenderedPageBreak/>
        <w:t xml:space="preserve">- PP uplatňují při výuce pravidla stanovená školním řádem.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PP provádějí pedagogickou diagnostiku v hodnocení dětí a žáků.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PP poskytují dětem a žákům a získávají od dětí a žáků zpětnou vazbu (rozvoj sebehodnocení, osvojování vhodných strategií učení, podpora celoživotního učení).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2 odst. 1 písm. b), e) a f)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Zásady a cíle vzdělávání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30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Školní řád, vnitřní řád a stipendijní řád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a § 116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Školská poradenská zařízení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zákona, vyhláška č. 72/2005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Příslušné RVP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9. </w:t>
      </w: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Partnerství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spolupracuje se zákonnými zástupci nezletilých dětí a žáků, rodiči zletilých žáků, popřípadě s osobami, které vůči zletilým žákům plní vyživovací povinnost (informovanost, zapojení v orgánech školy, komunikace se školou/školským zařízením, společné akce školy/školského zařízení a zákonných zástupců dětí a žáků).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vytváří podmínky pro práci školské rady, pokud je podle školského zákona zřízena, a umožňuje jí podílet se na správě školy.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podporuje vznik žákovské samosprávy a umožňuje jí podílet se na správě školy.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spolupracuje i s dalšími partnery při vytváření vzdělávací nabídky, při tvorbě a inovacích ŠVP, při zajištění DVPP, při hodnocení dosažených výsledků odborného vzdělávání, při ukončování vzdělávání a při zajištění praktického vyučování (např. zaměstnavatelé, partnerské školy, nestátní neziskové organizace, poradenská zařízení, výzkumné instituce).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podporuje mobilitu žáků (např. zahraniční stáže, LEONARDO, výměnné pobyty).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12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Hodnocení škol, školských zařízení a vzdělávací soustavy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21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Práva žáků, studentů a zákonných zástupců nezletilých žáků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167 a násl.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Školská rada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>Příslušné RVP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10. </w:t>
      </w: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Účinná podpora rozvoje funkčních gramotností dětí a žáků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Školní vzdělávací strategie se zaměřují na podporu rozvoje funkčních gramotností dětí a žáků, včetně dětí a žáků se SVP, dětí a žáků nadaných a cizinců, a to zejména čtenářské, matematické, finanční, sociální, přírodovědné, informační gramotnosti a schopnosti komunikace v CJ podle RVP.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Zákonní zástupci dětí a žáků a žáci jsou správně a včas informováni o průběhu vzdělávání a požadovaných výstupech v jednotlivých oblastech vzdělávání podle ŠVP a RVP.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přijímá opatření ke zlepšování podpory funkčních gramotností (např. inovace obsahu vzdělávání, přizpůsobování organizačních struktur aj.).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nabízí další aktivity a speciální programy pro nadané děti a žáky.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2 odst. 1 písm. g)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Zásady a cíle vzdělávání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>Příslušné RVP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11. </w:t>
      </w: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Systematické hodnocení individuálních a skupinových výsledků vzdělávání dětí a žáků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soustavně zjišťuje a vyhodnocuje úroveň výstupů a individuálních a skupinových výsledků v oblastech vymezených RVP a podle standardů příslušného stupně vzdělání (např. školní didaktické testy).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dosahuje požadovaných výstupů ve vybraných povinných vyučovacích předmětech (ČJ, AJ, M) podle RVP.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plánovitě sleduje úspěšnost dětí a žáků při přechodu z nižšího na vyšší stupeň vzdělávání (přechod z 1. na 2. stupeň ZŠ, vstupní ročníky: přechody MŠ-ZŠ-SŠ, adaptace žáků).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využívá příležitosti k porovnání hodnocení skupinových a individuálních výsledků žáků z více zdrojů (např. interní testování, ověřování výsledků vzdělávání prostřednictvím inspekčního systému elektronického testování </w:t>
      </w:r>
      <w:proofErr w:type="spellStart"/>
      <w:r w:rsidRPr="005626DC">
        <w:rPr>
          <w:rFonts w:ascii="Times New Roman" w:hAnsi="Times New Roman" w:cs="Times New Roman"/>
          <w:color w:val="0000FF"/>
          <w:sz w:val="20"/>
          <w:szCs w:val="20"/>
        </w:rPr>
        <w:t>iSET</w:t>
      </w:r>
      <w:proofErr w:type="spellEnd"/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jiná externí testování).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PP při vzdělávacích činnostech průběžně hodnotí výsledky a pokrok jednotlivých dětí a žáků v souladu s pravidly stanovenými v ŠVP a ve školním řádu; ve výuce využívají strategie formativního hodnocení.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lastRenderedPageBreak/>
        <w:t xml:space="preserve">§ 2 odst. 1 písm. g)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Zásady a cíle vzdělávání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30 odst. 2 a 4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Školní řád, vnitřní řád a stipendijní řád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>Příslušné RVP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12. </w:t>
      </w:r>
      <w:r w:rsidRPr="005626DC">
        <w:rPr>
          <w:rFonts w:ascii="Times New Roman" w:hAnsi="Times New Roman" w:cs="Times New Roman"/>
          <w:b/>
          <w:bCs/>
          <w:color w:val="0000FF"/>
          <w:sz w:val="20"/>
          <w:szCs w:val="20"/>
        </w:rPr>
        <w:t>Systémové hodnocení celkových výsledků vzdělávání školy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Znaky splnění kritéria</w:t>
      </w: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  <w:vertAlign w:val="superscript"/>
        </w:rPr>
        <w:t>2)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sleduje a hodnotí celkovou úspěšnost dětí a žáků v realizovaných vzdělávacích programech a soulad výsledků vzdělávání podle ŠVP s požadavky stanovenými v RVP (ukončování vzdělávání a dosažení stupně vzdělání, případně uzlové body vzdělávací dráhy).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sleduje počty a příčiny odchodů ze vzdělávání, vyhodnocuje je a přijímá opatření.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sleduje efektivitu a úspěšnost školních systémů v oblasti BOZ, prevence rizikového chování a školní neúspěšnosti a přijímá opatření k nápravě zjištěných nedostatků.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využívá výstupy externích hodnocení výsledků vzdělávání (např. využití příležitostí srovnání výsledků s jinými školami, a to na regionální, národní nebo mezinárodní úrovni).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sleduje další uplatnění svých absolventů (při dalším studiu, na trhu práce).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Škola/školské zařízení sleduje a hodnotí přínos realizovaných rozvojových projektů pro realizaci ŠVP.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- Škola prezentuje výsledky vzdělávání veřejně (např. www, veletrhy škol).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Základní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§ 2 odst. 1 písm. g)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Zásady a cíle vzdělávání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, § 12 </w:t>
      </w: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Hodnocení škol, školských zařízení a vzdělávací soustavy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školského zákona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5626DC"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  <w:t>Další právní východiska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Příslušné RVP </w:t>
      </w:r>
    </w:p>
    <w:p w:rsidR="005626DC" w:rsidRPr="005626DC" w:rsidRDefault="005626DC" w:rsidP="005626DC">
      <w:pPr>
        <w:pStyle w:val="Bezmezer"/>
        <w:rPr>
          <w:rFonts w:ascii="Times New Roman" w:eastAsia="Calibri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DZ ČR (2011-2015) </w:t>
      </w:r>
    </w:p>
    <w:p w:rsidR="005626DC" w:rsidRPr="005626DC" w:rsidRDefault="005626DC" w:rsidP="005626DC">
      <w:pPr>
        <w:pStyle w:val="Bezmezer"/>
        <w:rPr>
          <w:rFonts w:ascii="Times New Roman" w:eastAsia="Calibri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eastAsia="Calibri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eastAsia="Calibri" w:hAnsi="Times New Roman" w:cs="Times New Roman"/>
          <w:b/>
          <w:color w:val="0000FF"/>
          <w:sz w:val="20"/>
          <w:szCs w:val="20"/>
        </w:rPr>
        <w:t>Odkazy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1) Jednotlivá kritéria se využijí v návaznosti na charakter posuzované školy nebo školského zařízení. Kritéria jsou vždy uplatňována ve vzájemné souvislosti.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2) Oranžovou barvou jsou vyznačeny indikátory, které jsou podmínkou požadovaného stavu a jejichž nenaplnění zároveň vyžaduje uložení lhůty. Červenou barvou jsou pak vyznačeny indikátory, jejichž nenaplnění může být důvodem pro podání návrhu na výmaz ze školského rejstříku. Barevné rozlišení je orientační a musí být vždy posuzováno s ohledem na individuální případ a ve vztahu k dalším kritériím. Indikátory splnění kritéria jsou vždy uplatňovány ve vzájemné souvislosti.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3) Zákon č. 561/2004 Sb., o předškolním, základním, středním, vyšším odborném a jiném vzdělávání (školský zákon), ve znění zákona č. 383/2005 Sb., zákona č. 112/2006 Sb., zákona č. 158/2006 Sb., zákona č. 161/2006 Sb., zákona č. 165/2006 Sb., zákona č. 179/2006 Sb., zákona č. 342/2006 Sb., zákona č. 624/2006 Sb., zákona č. 217/2007 Sb., zákona č. 296/2007 Sb., zákona č. 343/2007 Sb., zákona č. 58/2008 Sb., zákona č. 126/2008 Sb., zákona č. 189/2008 Sb., zákona č. 242/2008 Sb., zákona č. 243/2008 Sb., zákona č. 306/2008 Sb., zákona č. 384/2008 Sb., zákona č. 49/2009 Sb., zákona č. 227/2009 Sb., zákona č. 378/2009 Sb., zákona č. 427/2010 Sb., zákona č. 73/2011 Sb., zákona č. 331/2011 Sb., zákona č. 375/2011 Sb., zákona č. 420/2011 Sb., zákona č. 458/2011 Sb., zákona č. 472/2011 Sb., zákona č. 53/2012 Sb., zákona č. 333/2012 Sb., zákona č. 370/2012 Sb., zákona č. 241/2013 Sb., zákonného opatření Senátu č. 344/2013 Sb. a zákona č. 64/2014 Sb.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4) Vyhláška č. 48/2005 Sb., o základním vzdělávání a některých náležitostech plnění povinné školní docházky, ve znění vyhlášky č. 454/2006 Sb. a vyhlášky č. 256/2012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5) Vyhláška č. 73/2005 Sb., o vzdělávání dětí, žáků a studentů se speciálními vzdělávacími potřebami a dětí, žáků a studentů mimořádně nadaných, ve znění vyhlášky č. 147/2011 Sb. a vyhlášky č. 103/2014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6) Vyhláška č. 72/2005 Sb., o poskytování poradenských služeb ve školách a školských poradenských zařízeních, ve znění vyhlášky č. 116/2011 Sb. a vyhlášky č. 103/2014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7) Zákon č. 198/2009 Sb., o rovném zacházení a o právních prostředcích ochrany před diskriminací a o změně některých zákonů (antidiskriminační zákon), ve znění zákona č. 89/2012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8) Sdělení č. 104/1991 Sb. ve znění sdělení č. 41/2010 Sb. m. s., kterým se vyhlašuje Úmluva o právech dítěte.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9) Vyhláška č. 671/2004 Sb., kterou se stanoví podrobnosti o organizaci přijímacího řízení ke vzdělávání ve středních školách, ve znění vyhlášky č. 422/2006 Sb., vyhlášky č. 46/2008 Sb., vyhlášky č. 394/2008 Sb. a vyhlášky č. 86/2012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10) Vyhláška č. 177/2009 Sb., o bližších podmínkách ukončování vzdělávání ve středních školách maturitní zkouškou, ve znění vyhlášky č. 90/2010 Sb., vyhlášky č. 274/2010 Sb., vyhlášky č. 54/2011 Sb., vyhlášky č. 273/2011 Sb. a vyhlášky č. 371/2012 Sb.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lastRenderedPageBreak/>
        <w:t xml:space="preserve">11) Vyhláška č. 47/2005 Sb., o ukončování vzdělávání ve středních školách závěrečnou zkouškou a o ukončování vzdělávání v konzervatoři absolutoriem, ve znění vyhlášky č. 126/2011 Sb. a vyhlášky č. 36/2014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12) Vyhláška č. 13/2005 Sb., o středním vzdělávání a vzdělávání v konzervatoři, ve znění vyhlášky č. 374/2006 Sb. a vyhlášky č. 400/2009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13) Vyhláška č. 74/2005 Sb., o zájmovém vzdělávání, ve znění vyhlášky č. 109/2011 Sb. a vyhlášky č. 279/2012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14) Vyhláška č. 108/2005 Sb., o školských výchovných a ubytovacích zařízeních a školských účelových zařízeních, ve znění vyhlášky č. 436/2010 Sb.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15) Zákon č. 563/2004 Sb., o pedagogických pracovnících a o změně některých zákonů, ve znění zákona č. 383/2005 Sb., zákona č. 17 9/2006 Sb., zákona č. 264/2006 Sb., zákona č. 189/2008 Sb., zákona č. 384/2008 Sb., zákona č. 223/2009 Sb., zákona č. 227/2009 Sb., zákona č. 422/2009 Sb., zákona č. 159/2010 Sb., zákona č. 420/2011 Sb. a zákona č. 333/2012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16) Vyhláška č. 317/2005 Sb., o dalším vzdělávání pedagogických pracovníků, akreditační komisi a kariérním systému pedagogických pracovníků, ve znění vyhlášky č. 412/2006 Sb. a vyhlášky č. 329/2013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17) Nařízení vlády č. 75/2005 Sb., o stanovení rozsahu přímé vyučovací, přímé výchovné, přímé speciálně pedagogické a přímé pedagogicko-psychologické činnosti pedagogických pracovníků, ve znění nařízení vlády č. 273/2009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18) Vyhláška č. 410/2005 Sb., o hygienických požadavcích na prostory a provoz zařízení a provozoven pro výchovu a vzdělávání dětí a mladistvých, ve znění vyhlášky č. 343/2009 Sb.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19) Vyhláška č. 14/2005 Sb., o předškolním vzdělávání, ve znění vyhlášky č. 43/2006 Sb. a vyhlášky č. 314/2012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20) Zákon č. 306/1999 Sb., o poskytování dotací soukromým školám, předškolním a školským zařízením, ve znění zákona č. 132/2000 S b., zákona č. 255/2001 Sb., zákona č. 16/2002 Sb., zákona č. 284/2002 Sb., zákona č. 562/2004 Sb., zákona č. 383/2005 Sb., zákona č. 179/2006 Sb. a zákona č. 227/2009 Sb.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21) Zákon č. 563/1991 Sb., o účetnictví, ve znění zákona č. 117/1994 Sb., zákona č. 227/1997 Sb., zákona č. 492/2000 Sb., </w:t>
      </w:r>
      <w:proofErr w:type="gramStart"/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>zákona č . 353/2001</w:t>
      </w:r>
      <w:proofErr w:type="gramEnd"/>
      <w:r w:rsidRPr="005626DC">
        <w:rPr>
          <w:rFonts w:ascii="Times New Roman" w:hAnsi="Times New Roman" w:cs="Times New Roman"/>
          <w:iCs/>
          <w:color w:val="0000FF"/>
          <w:sz w:val="20"/>
          <w:szCs w:val="20"/>
        </w:rPr>
        <w:t xml:space="preserve"> Sb., zákona č. 437/2003 Sb., zákona č. 257/2004 Sb., zákona č. 669/2004 Sb., zákona č. 179/2005 Sb., zákona č. 495/2005 Sb., zákona č. 57/2006 Sb., zákona č. 81/2006 Sb., zákona č. 230/2006 Sb., zákona č. 264/2006 Sb., zákona č. 69/2007 Sb., zákona č. 261/2007 Sb., zákona č. 296/2007 Sb., zákona č. 348/2007 Sb., zákona č. 126/2008 Sb., zákona č. 304/2008 Sb., zákona č. 227/2009 Sb., zákona č. 230/2009 Sb., zákona č. 410/2010 Sb., zákona č. 188/2011 Sb., zákona č. 355/2011 Sb., zákona č. 428/2 011 Sb., zákona č. 458/2011 Sb., zákona č. 167/2012 Sb., zákona č. 239/2012 Sb., zákona č. 503/2012 Sb. a zákona č. 344/2013 Sb.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5626DC" w:rsidRPr="005626DC" w:rsidRDefault="005626DC" w:rsidP="005626DC">
      <w:pPr>
        <w:pStyle w:val="Bezmezer"/>
        <w:rPr>
          <w:rFonts w:ascii="Times New Roman" w:eastAsia="Calibri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eastAsia="Calibri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eastAsia="Calibri" w:hAnsi="Times New Roman" w:cs="Times New Roman"/>
          <w:b/>
          <w:bCs/>
          <w:color w:val="0000FF"/>
          <w:sz w:val="20"/>
          <w:szCs w:val="20"/>
        </w:rPr>
        <w:t xml:space="preserve">Seznam příloh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Příloha č. 1 Prameny ke „Kritériím hodnocení podmínek, průběhu a výsledků vzdělávání na školní rok 2014/2015“ 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>Příloha č. 2 Seznam zkratek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>Příloha č. 1 Prameny ke „Kritériím hodnocení podmínek, průběhu a výsledků vzdělávání na školní rok 2014/2015“</w:t>
      </w:r>
    </w:p>
    <w:p w:rsid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>Zákony</w:t>
      </w:r>
    </w:p>
    <w:p w:rsidR="002C7CE8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Zákon č. 561/2004 Sb., o předškolním, základním, středním, vyšším odborném a jiném vzdělávání (školský zákon), ve znění zákona č. 383/2005 Sb., zákona č. 112/2006 Sb., zákona č. 158/2006 Sb., zákona č. 161/2006 Sb., zákona č. 165/2006 Sb., zákona č. 179/2006 Sb., zákona č. 342/2006 Sb., zákona č. 624/2006 Sb., zákona č. 217/2007 Sb., zákona č. 296/2007 Sb., zákona č. 343/2007 Sb., zákona č. 58/2008 Sb., zákona č. 126/2008 Sb., zákona č. 189/2008 Sb., zákona č. 242/2008 Sb., zákona č. 243/2008 Sb., zákona č. 306/2008 Sb., zákona č. 384/2008 Sb., zákona č. 49/2009 Sb., zákona č. 227/2009 Sb., zákona č. 378/2009 Sb., zákona č. 427/2010 Sb., zákona č. 73/2011 Sb., zákona č. 331/2011 Sb., zákona č. 375/2011 Sb., zákona č. 420/2011 Sb., zákona č. 458/2011 Sb., zákona č. 472/2011 Sb., zákona č. 53/2012 Sb., zákona č. 333/2012 Sb., zákona č. 370/2012 Sb., zákona č. 241/2013 Sb., zákonného opatření Senátu</w:t>
      </w:r>
      <w:r w:rsidR="002C7CE8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č. 344/2013 Sb. a zákona č. 64/2014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Zákon č. 563/2004 Sb., o pedagogických pracovnících a o změně některých zákonů, ve znění zákona č. 383/2005 Sb., zákona č. 179/2006 Sb., zákona č. 264/2006 Sb., zákona č. 189/2008 Sb., zákona č. 384/2008 Sb., zákona č. 223/2009 Sb., zákona č. 227/2009 Sb., zákona č. 422/2009 Sb., zákona č. 159/2010 Sb., zákona č. 420/2011 Sb. a zákona č. 333/2012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Zákon č. 306/1999 Sb., o poskytování dotací soukromým školám, předškolním a školským zařízením, ve znění zákona č. 132/2000 Sb., zákona č. 255/2001 Sb., zákona č. 16/2002 Sb., zákona č. 284/2002 Sb., zákona č. 562/2004 Sb., zákona č. 383/2005 Sb., zákona č. 179/2006 Sb. a zákona č. 227/2009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lastRenderedPageBreak/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Zákon č. 109/2002 Sb., o výkonu ústavní výchovy nebo ochranné výchovy ve školských zařízeních a o preventivně výchovné péči ve školských zařízeních a o změně dalších zákonů, ve znění nálezu Ústavního soudu, vyhlášeného pod č. 476/2004 Sb., zákona č. 562/2004 Sb., zákona č. 563/2004 Sb., zákona č. 383/2005 Sb., zákona č. 112/2006 Sb., zákona č. 189/2008 Sb., zákona č. 274/2008 Sb., zákona č. 7/2009 Sb., zákona č. 41/2009 Sb., zákona č. 281/2009 Sb., zákon č. 352/2011 Sb., zákona č. 375/2011 Sb., zákona č. 89/2012 Sb., zákona č. 303/2012 Sb., zákona č. 333/2012 Sb. a zákona č. 401/2012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Zákon č. 198/2009 Sb., o rovném zacházení a o právních prostředcích ochrany před diskriminací a o změně některých zákonů (antidiskriminační zákon), ve znění zákona č. 89/2012 Sb.</w:t>
      </w:r>
    </w:p>
    <w:p w:rsid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>Nařízení vlády ČR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Nařízení vlády č. 211/2010 Sb., o soustavě oborů vzdělání v základním, středním a vyšším odborném vzdělávání, ve znění nařízení vlády č. 367/2012 Sb.</w:t>
      </w:r>
    </w:p>
    <w:p w:rsidR="006D2D9A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Nařízení vlády č. 75/2005 Sb., o stanovení rozsahu přímé vyučovací, přímé výchovné, přímé speciálně pedagogické, přímé pedagogicko-psychologické činnosti pedagogických pracovníků, ve znění nařízení vlády č. 273/2009 Sb.</w:t>
      </w:r>
    </w:p>
    <w:p w:rsid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>Vyhlášky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671/2004 Sb., kterou se stanoví podrobnosti o organizaci přijímacího řízení ke vzdělávání ve středních školách, ve znění vyhlášky č. 422/2006 Sb., vyhlášky č. 46/2008 Sb., vyhlášky č. 394/2008 Sb. a vyhlášky č. 86/2012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13/2005 Sb., o středním vzdělávání a vzdělávání v konzervatoři, ve znění vyhlášky č. 374/2006 Sb. a vyhlášky č. 400/2009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14/2005 Sb., o předškolním vzdělávání, ve znění vyhlášky č. 43/2006 Sb. A vyhlášky č. 214/2012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15/2005 Sb., kterou se stanoví náležitosti dlouhodobých záměrů, výročních zpráv a vlastního hodnocení školy, ve znění vyhlášky č. 225/2009 Sb., a vyhlášky č. 195/2012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47/2005 Sb., o ukončování vzdělávání ve středních školách závěrečnou zkouškou a o ukončování vzdělávání v konzervatoři absolutoriem, ve znění vyhlášky č. 126/2011 Sb. a vyhlášky č. 36/2014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48/2005 Sb., o základním vzdělávání a některých náležitostech plnění povinné školní docházky, ve znění vyhlášky č. 454/2006 Sb. a vyhlášky č. 256/2012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64/2005 Sb., o evidenci úrazů dětí, žáků a studentů, ve znění vyhlášky č. 57/2010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71/2005 Sb., o základním uměleckém vzdělávání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72/2005 Sb., o poskytování poradenských služeb ve školách a školských poradenských zařízeních, ve znění vyhlášky č. 116/2011 Sb. a vyhlášky č. 103/2014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73/2005 Sb., o vzdělávání dětí, žáků a studentů se speciálními vzdělávacími potřebami a dětí, žáků a studentů mimořádně nadaných, ve znění vyhlášky č. 147/2011 Sb. a vyhlášky č. 103/2014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74/2005 Sb., o zájmovém vzdělávání, ve znění vyhlášky č. 109/2011 Sb. A vyhlášky č. 279/2012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108/2005 Sb., o školských výchovných a ubytovacích zařízeních a školských účelových zařízeních, ve znění vyhlášky č. 436/2010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317/2005 Sb., o dalším vzdělávání pedagogických pracovníků, akreditační komisi a kariérním systému pedagogických pracovníků, ve znění vyhlášky č. 412/2006 Sb. a vyhlášky č. 329/2013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364/2005 Sb., o vedení dokumentace škol a školských zařízení a školní matriky a o předávání údajů z dokumentace škol a školských zařízení a ze školní matriky (vyhláška o dokumentaci škol a školských zařízení), ve znění vyhlášky č. 389/2006 Sb., vyhlášky č. 226/2007 Sb., vyhlášky č. 208/2009 Sb., vyhlášky č. 29/2012 Sb. a vyhlášky č. 131/2013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410/2005 Sb., o hygienických požadavcích na prostory a provoz zařízení a provozoven pro výchovu a vzdělávání dětí a mladistvých, ve znění vyhlášky č. 343/2009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458/2005 Sb., kterou se upravují podrobnosti o organizaci výchovně vzdělávací péče ve střediscích výchovné péče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438/2006 Sb., kterou se upravují podrobnosti výkonu ústavní výchovy a ochranné výchovy ve školských zařízeních, ve znění vyhlášky č. 244/2011 Sb.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Vyhláška č. 177/2009 Sb., o bližších podmínkách ukončování vzdělávání ve středních školách maturitní zkouškou, ve znění vyhlášky č. 90/2010 Sb., vyhlášky č. 274/2010 Sb., vyhlášky č. 54/2011 Sb., vyhlášky č. 273/2011 Sb. a vyhlášky č. 371/2012 Sb.</w:t>
      </w:r>
    </w:p>
    <w:p w:rsid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>Usnesení vlády ČR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9. července 2014 č. 538 o Strategii vzdělávací politiky České republiky do roku 2020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lastRenderedPageBreak/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7. února 2001 č. 113 k Bílé knize – Národnímu programu rozvoje vzdělávání v České republice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30. října 2002 č. 1046 k Dlouhodobému programu zlepšování zdravotního stavu obyvatelstva České republiky Zdraví pro všechny v 21. století, ve znění usnesení vlády ČR ze dne 22. srpna 2007 č. 936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22. srpna 2007 č. 926 o Národním akčním plánu prevence dětských úrazů na léta 2007 až 2017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9. července 2008 č. 851 Strategie vzdělávání pro udržitelný rozvoj České republiky (2008-2015)</w:t>
      </w:r>
    </w:p>
    <w:p w:rsid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4. května 2009 č. 572 Strategie boje proti extremismu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16. listopadu 2011 č. 836 o Dlouhodobém záměru vzdělávání a rozvoje vzdělávací soustavy České republiky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11. července 2007 č. 761 o Strategii celoživotního učení České republiky, usnesení vlády ČR ze dne 5. ledna 2009 č. 8 k návrhu Implementačního plánu Strategie celoživotního učení v České republice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6. prosince 2008 č. 1586 k Akčnímu plánu podpory odborného vzdělávání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19. října 2009 č. 1302 o Akčním plánu Státního programu environmentálního vzdělávání, výchovy a osvěty v České republice na léta 2010 – 2012 s výhledem do roku 2015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21. září 2011 č. 699 o Strategii boje proti sociálnímu vyloučení na období let 2011 až 2015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Usnesení Vlády ČR ze dne 12. května 2014 č. 342 k vyhodnocení Koncepce státní politiky pro oblast dětí a mládeže na období 2007 – 2013 a k návrhu Koncepce podpory mládeže na období 2014-2020</w:t>
      </w:r>
    </w:p>
    <w:p w:rsid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b/>
          <w:color w:val="0000FF"/>
          <w:sz w:val="20"/>
          <w:szCs w:val="20"/>
        </w:rPr>
      </w:pPr>
      <w:proofErr w:type="spellStart"/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>Kurikulární</w:t>
      </w:r>
      <w:proofErr w:type="spellEnd"/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 dokumenty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příslušné RVP</w:t>
      </w:r>
    </w:p>
    <w:p w:rsid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>Mezinárodní dokumenty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Evropský rámec kvalifikací pro celoživotní učení a Aktualizovaný strategický rámec evropské spolupráce v oblasti vzdělávání a odborné přípravy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  <w:r>
        <w:rPr>
          <w:rFonts w:ascii="Times New Roman" w:hAnsi="Times New Roman" w:cs="Times New Roman"/>
          <w:color w:val="0000FF"/>
          <w:sz w:val="20"/>
          <w:szCs w:val="20"/>
        </w:rPr>
        <w:t>-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Rezoluce Rady o celoživotním vzdělávání z 27. června 200</w:t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2</w:t>
      </w:r>
    </w:p>
    <w:p w:rsidR="005626DC" w:rsidRPr="005626DC" w:rsidRDefault="005626DC" w:rsidP="005626DC">
      <w:pPr>
        <w:pStyle w:val="Bezmezer"/>
        <w:ind w:left="142" w:hanging="142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b/>
          <w:color w:val="0000FF"/>
          <w:sz w:val="20"/>
          <w:szCs w:val="20"/>
        </w:rPr>
        <w:t>Příloha č. 2 Seznam zkratek</w:t>
      </w:r>
    </w:p>
    <w:p w:rsid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AJ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anglický jazyk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BOZ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bezpečnost a ochrana zdraví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CJ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cizí jazyk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ČJ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český jazyk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DVPP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další vzdělávání pedagogických pracovníků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DZ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dlouhodobý záměr vzdělávání a rozvoje vzdělávací soustavy České republiky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DZK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dlouhodobý záměr vzdělávání a rozvoje vzdělávací soustavy v kraji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ESF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Evropský sociální fond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ICT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informační a komunikační technologie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Kritéria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proofErr w:type="spellStart"/>
      <w:r w:rsidRPr="005626DC">
        <w:rPr>
          <w:rFonts w:ascii="Times New Roman" w:hAnsi="Times New Roman" w:cs="Times New Roman"/>
          <w:color w:val="0000FF"/>
          <w:sz w:val="20"/>
          <w:szCs w:val="20"/>
        </w:rPr>
        <w:t>Kritéria</w:t>
      </w:r>
      <w:proofErr w:type="spellEnd"/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 hodnocení podmínek, průběhu a výsledků vzdělávání na školní rok 2014/2015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M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matematika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MŠ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mateřské školy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MŠMT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Ministerstvo školství, mládeže a tělovýchovy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OP VK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Operační program Vzdělávání pro konkurenceschopnost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PO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požární ochrana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PP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pedagogický pracovník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RVP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rámcový vzdělávací program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SVP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speciální vzdělávací potřeby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SŠ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střední školy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ŠVP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školní vzdělávací program</w:t>
      </w:r>
    </w:p>
    <w:p w:rsidR="005626DC" w:rsidRPr="005626DC" w:rsidRDefault="005626DC" w:rsidP="005626DC">
      <w:pPr>
        <w:pStyle w:val="Bezmezer"/>
        <w:rPr>
          <w:rFonts w:ascii="Times New Roman" w:hAnsi="Times New Roman" w:cs="Times New Roman"/>
          <w:color w:val="0000FF"/>
          <w:sz w:val="20"/>
          <w:szCs w:val="20"/>
        </w:rPr>
      </w:pPr>
      <w:r w:rsidRPr="005626DC">
        <w:rPr>
          <w:rFonts w:ascii="Times New Roman" w:hAnsi="Times New Roman" w:cs="Times New Roman"/>
          <w:color w:val="0000FF"/>
          <w:sz w:val="20"/>
          <w:szCs w:val="20"/>
        </w:rPr>
        <w:t xml:space="preserve">ZŠ </w:t>
      </w:r>
      <w:r>
        <w:rPr>
          <w:rFonts w:ascii="Times New Roman" w:hAnsi="Times New Roman" w:cs="Times New Roman"/>
          <w:color w:val="0000FF"/>
          <w:sz w:val="20"/>
          <w:szCs w:val="20"/>
        </w:rPr>
        <w:tab/>
      </w:r>
      <w:r w:rsidRPr="005626DC">
        <w:rPr>
          <w:rFonts w:ascii="Times New Roman" w:hAnsi="Times New Roman" w:cs="Times New Roman"/>
          <w:color w:val="0000FF"/>
          <w:sz w:val="20"/>
          <w:szCs w:val="20"/>
        </w:rPr>
        <w:t>základní školy</w:t>
      </w:r>
    </w:p>
    <w:sectPr w:rsidR="005626DC" w:rsidRPr="00562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6DC"/>
    <w:rsid w:val="002C7CE8"/>
    <w:rsid w:val="005626DC"/>
    <w:rsid w:val="006D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5626DC"/>
    <w:pPr>
      <w:spacing w:after="0" w:line="240" w:lineRule="auto"/>
    </w:pPr>
  </w:style>
  <w:style w:type="paragraph" w:styleId="Normlnweb">
    <w:name w:val="Normal (Web)"/>
    <w:basedOn w:val="Normln"/>
    <w:rsid w:val="005626D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character" w:customStyle="1" w:styleId="BezmezerChar">
    <w:name w:val="Bez mezer Char"/>
    <w:link w:val="Bezmezer"/>
    <w:uiPriority w:val="1"/>
    <w:rsid w:val="005626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5626DC"/>
    <w:pPr>
      <w:spacing w:after="0" w:line="240" w:lineRule="auto"/>
    </w:pPr>
  </w:style>
  <w:style w:type="paragraph" w:styleId="Normlnweb">
    <w:name w:val="Normal (Web)"/>
    <w:basedOn w:val="Normln"/>
    <w:rsid w:val="005626D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character" w:customStyle="1" w:styleId="BezmezerChar">
    <w:name w:val="Bez mezer Char"/>
    <w:link w:val="Bezmezer"/>
    <w:uiPriority w:val="1"/>
    <w:rsid w:val="005626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4717</Words>
  <Characters>27835</Characters>
  <Application>Microsoft Office Word</Application>
  <DocSecurity>0</DocSecurity>
  <Lines>231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2014-08-21T11:45:00Z</dcterms:created>
  <dcterms:modified xsi:type="dcterms:W3CDTF">2014-08-21T12:17:00Z</dcterms:modified>
</cp:coreProperties>
</file>