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CABB0" w14:textId="77777777" w:rsidR="004B7FC6" w:rsidRPr="001F7D73" w:rsidRDefault="004B7FC6" w:rsidP="004B7FC6">
      <w:pPr>
        <w:spacing w:line="260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625FB5"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  <w:t>Vyhláška k zajištění bezpečnosti a ochrany zdraví dětí, žáků a studentů ve školách</w:t>
      </w:r>
    </w:p>
    <w:p w14:paraId="31C35914" w14:textId="77777777" w:rsidR="004B7FC6" w:rsidRPr="001F7D73" w:rsidRDefault="004B7FC6" w:rsidP="004B7FC6">
      <w:pPr>
        <w:spacing w:line="26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F7D73">
        <w:rPr>
          <w:rFonts w:ascii="Times New Roman" w:eastAsia="Times New Roman" w:hAnsi="Times New Roman" w:cs="Times New Roman"/>
          <w:sz w:val="24"/>
          <w:szCs w:val="24"/>
          <w:lang w:eastAsia="cs-CZ"/>
        </w:rPr>
        <w:t>MŠMT připravuje vyhlášku o některých opatřeních k zajištění bezpečnosti a ochrany zdraví dětí, žáků a studentů ve školách a školských zařízeních a o změně vyhlášky č. 15/2005 Sb., kterou se stanoví náležitosti dlouhodobých záměrů a výročních zpráv, ve znění pozdějších předpisů, a vyhlášky č. 263/2007 Sb., kterou se stanoví pracovní řád pro zaměstnance škol a školských zařízení zřízených Ministerstvem školství, mládeže a tělovýchovy, krajem, obcí nebo dobrovolným svazkem obcí</w:t>
      </w:r>
    </w:p>
    <w:p w14:paraId="2E3D1B73" w14:textId="77777777" w:rsidR="004B7FC6" w:rsidRDefault="004B7FC6" w:rsidP="004B7FC6"/>
    <w:p w14:paraId="053B7964" w14:textId="77777777" w:rsidR="00522274" w:rsidRDefault="00522274"/>
    <w:sectPr w:rsidR="00522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FC6"/>
    <w:rsid w:val="004B7FC6"/>
    <w:rsid w:val="00522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88C436A"/>
  <w15:chartTrackingRefBased/>
  <w15:docId w15:val="{FF5636C3-5033-2B4B-A90D-A8EBC20DE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B7FC6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484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2023-06-02T13:53:00Z</dcterms:created>
  <dcterms:modified xsi:type="dcterms:W3CDTF">2023-06-02T13:53:00Z</dcterms:modified>
</cp:coreProperties>
</file>