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center"/>
        <w:rPr>
          <w:rFonts w:ascii="Verdana" w:cs="Verdana" w:hAnsi="Verdana" w:eastAsia="Verdana"/>
          <w:b w:val="1"/>
          <w:bCs w:val="1"/>
          <w:sz w:val="24"/>
          <w:szCs w:val="24"/>
          <w:rtl w:val="0"/>
        </w:rPr>
      </w:pPr>
      <w:r>
        <w:rPr>
          <w:rFonts w:ascii="Verdana" w:hAnsi="Verdana"/>
          <w:b w:val="1"/>
          <w:bCs w:val="1"/>
          <w:sz w:val="24"/>
          <w:szCs w:val="24"/>
          <w:rtl w:val="0"/>
        </w:rPr>
        <w:t>Sn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>íž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en</w:t>
      </w:r>
      <w:r>
        <w:rPr>
          <w:rFonts w:ascii="Verdana" w:hAnsi="Verdana" w:hint="default"/>
          <w:b w:val="1"/>
          <w:bCs w:val="1"/>
          <w:sz w:val="24"/>
          <w:szCs w:val="24"/>
          <w:rtl w:val="0"/>
        </w:rPr>
        <w:t xml:space="preserve">á </w:t>
      </w:r>
      <w:r>
        <w:rPr>
          <w:rFonts w:ascii="Verdana" w:hAnsi="Verdana"/>
          <w:b w:val="1"/>
          <w:bCs w:val="1"/>
          <w:sz w:val="24"/>
          <w:szCs w:val="24"/>
          <w:rtl w:val="0"/>
        </w:rPr>
        <w:t>sazba DPH</w:t>
      </w:r>
    </w:p>
    <w:p>
      <w:pPr>
        <w:pStyle w:val="Default"/>
        <w:bidi w:val="0"/>
        <w:ind w:left="0" w:right="0" w:firstLine="0"/>
        <w:jc w:val="left"/>
        <w:rPr>
          <w:rFonts w:ascii="Verdana" w:cs="Verdana" w:hAnsi="Verdana" w:eastAsia="Verdana"/>
          <w:sz w:val="24"/>
          <w:szCs w:val="24"/>
          <w:rtl w:val="0"/>
        </w:rPr>
      </w:pP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Verdana" w:hAnsi="Verdana"/>
          <w:sz w:val="24"/>
          <w:szCs w:val="24"/>
          <w:rtl w:val="0"/>
        </w:rPr>
        <w:t>Od 1. prosince 2016 doch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z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ke zm</w:t>
      </w:r>
      <w:r>
        <w:rPr>
          <w:rFonts w:ascii="Verdana" w:hAnsi="Verdana" w:hint="default"/>
          <w:sz w:val="24"/>
          <w:szCs w:val="24"/>
          <w:rtl w:val="0"/>
        </w:rPr>
        <w:t>ě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ě </w:t>
      </w:r>
      <w:r>
        <w:rPr>
          <w:rFonts w:ascii="Verdana" w:hAnsi="Verdana"/>
          <w:sz w:val="24"/>
          <w:szCs w:val="24"/>
          <w:rtl w:val="0"/>
        </w:rPr>
        <w:t>z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 xml:space="preserve">kona </w:t>
      </w:r>
      <w:r>
        <w:rPr>
          <w:rFonts w:ascii="Verdana" w:hAnsi="Verdana" w:hint="default"/>
          <w:sz w:val="24"/>
          <w:szCs w:val="24"/>
          <w:rtl w:val="0"/>
        </w:rPr>
        <w:t>č</w:t>
      </w:r>
      <w:r>
        <w:rPr>
          <w:rFonts w:ascii="Verdana" w:hAnsi="Verdana"/>
          <w:sz w:val="24"/>
          <w:szCs w:val="24"/>
          <w:rtl w:val="0"/>
        </w:rPr>
        <w:t>. 235/2004 Sb. v za</w:t>
      </w:r>
      <w:r>
        <w:rPr>
          <w:rFonts w:ascii="Verdana" w:hAnsi="Verdana" w:hint="default"/>
          <w:sz w:val="24"/>
          <w:szCs w:val="24"/>
          <w:rtl w:val="0"/>
        </w:rPr>
        <w:t>ř</w:t>
      </w:r>
      <w:r>
        <w:rPr>
          <w:rFonts w:ascii="Verdana" w:hAnsi="Verdana"/>
          <w:sz w:val="24"/>
          <w:szCs w:val="24"/>
          <w:rtl w:val="0"/>
        </w:rPr>
        <w:t>azen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stravovac</w:t>
      </w:r>
      <w:r>
        <w:rPr>
          <w:rFonts w:ascii="Verdana" w:hAnsi="Verdana" w:hint="default"/>
          <w:sz w:val="24"/>
          <w:szCs w:val="24"/>
          <w:rtl w:val="0"/>
        </w:rPr>
        <w:t>í</w:t>
      </w:r>
      <w:r>
        <w:rPr>
          <w:rFonts w:ascii="Verdana" w:hAnsi="Verdana"/>
          <w:sz w:val="24"/>
          <w:szCs w:val="24"/>
          <w:rtl w:val="0"/>
        </w:rPr>
        <w:t>ch slu</w:t>
      </w:r>
      <w:r>
        <w:rPr>
          <w:rFonts w:ascii="Verdana" w:hAnsi="Verdana" w:hint="default"/>
          <w:sz w:val="24"/>
          <w:szCs w:val="24"/>
          <w:rtl w:val="0"/>
        </w:rPr>
        <w:t>ž</w:t>
      </w:r>
      <w:r>
        <w:rPr>
          <w:rFonts w:ascii="Verdana" w:hAnsi="Verdana"/>
          <w:sz w:val="24"/>
          <w:szCs w:val="24"/>
          <w:rtl w:val="0"/>
        </w:rPr>
        <w:t>eb a pod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v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n</w:t>
      </w:r>
      <w:r>
        <w:rPr>
          <w:rFonts w:ascii="Verdana" w:hAnsi="Verdana" w:hint="default"/>
          <w:sz w:val="24"/>
          <w:szCs w:val="24"/>
          <w:rtl w:val="0"/>
        </w:rPr>
        <w:t>á</w:t>
      </w:r>
      <w:r>
        <w:rPr>
          <w:rFonts w:ascii="Verdana" w:hAnsi="Verdana"/>
          <w:sz w:val="24"/>
          <w:szCs w:val="24"/>
          <w:rtl w:val="0"/>
        </w:rPr>
        <w:t>poj</w:t>
      </w:r>
      <w:r>
        <w:rPr>
          <w:rFonts w:ascii="Verdana" w:hAnsi="Verdana" w:hint="default"/>
          <w:sz w:val="24"/>
          <w:szCs w:val="24"/>
          <w:rtl w:val="0"/>
        </w:rPr>
        <w:t xml:space="preserve">ů </w:t>
      </w:r>
      <w:r>
        <w:rPr>
          <w:rFonts w:ascii="Verdana" w:hAnsi="Verdana"/>
          <w:sz w:val="24"/>
          <w:szCs w:val="24"/>
          <w:rtl w:val="0"/>
        </w:rPr>
        <w:t>do prvn</w:t>
      </w:r>
      <w:r>
        <w:rPr>
          <w:rFonts w:ascii="Verdana" w:hAnsi="Verdana" w:hint="default"/>
          <w:sz w:val="24"/>
          <w:szCs w:val="24"/>
          <w:rtl w:val="0"/>
        </w:rPr>
        <w:t xml:space="preserve">í </w:t>
      </w:r>
      <w:r>
        <w:rPr>
          <w:rFonts w:ascii="Verdana" w:hAnsi="Verdana"/>
          <w:sz w:val="24"/>
          <w:szCs w:val="24"/>
          <w:rtl w:val="0"/>
        </w:rPr>
        <w:t>sn</w:t>
      </w:r>
      <w:r>
        <w:rPr>
          <w:rFonts w:ascii="Verdana" w:hAnsi="Verdana" w:hint="default"/>
          <w:sz w:val="24"/>
          <w:szCs w:val="24"/>
          <w:rtl w:val="0"/>
        </w:rPr>
        <w:t>íž</w:t>
      </w:r>
      <w:r>
        <w:rPr>
          <w:rFonts w:ascii="Verdana" w:hAnsi="Verdana"/>
          <w:sz w:val="24"/>
          <w:szCs w:val="24"/>
          <w:rtl w:val="0"/>
        </w:rPr>
        <w:t>en</w:t>
      </w:r>
      <w:r>
        <w:rPr>
          <w:rFonts w:ascii="Verdana" w:hAnsi="Verdana" w:hint="default"/>
          <w:sz w:val="24"/>
          <w:szCs w:val="24"/>
          <w:rtl w:val="0"/>
          <w:lang w:val="fr-FR"/>
        </w:rPr>
        <w:t xml:space="preserve">é </w:t>
      </w:r>
      <w:r>
        <w:rPr>
          <w:rFonts w:ascii="Verdana" w:hAnsi="Verdana"/>
          <w:sz w:val="24"/>
          <w:szCs w:val="24"/>
          <w:rtl w:val="0"/>
        </w:rPr>
        <w:t>sazby DPH ve v</w:t>
      </w:r>
      <w:r>
        <w:rPr>
          <w:rFonts w:ascii="Verdana" w:hAnsi="Verdana" w:hint="default"/>
          <w:sz w:val="24"/>
          <w:szCs w:val="24"/>
          <w:rtl w:val="0"/>
        </w:rPr>
        <w:t>ýš</w:t>
      </w:r>
      <w:r>
        <w:rPr>
          <w:rFonts w:ascii="Verdana" w:hAnsi="Verdana"/>
          <w:sz w:val="24"/>
          <w:szCs w:val="24"/>
          <w:rtl w:val="0"/>
        </w:rPr>
        <w:t>i 15%.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