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EEE" w:rsidRPr="009B1569" w:rsidRDefault="00EB5EEE" w:rsidP="00EB5EEE">
      <w:pPr>
        <w:jc w:val="center"/>
        <w:rPr>
          <w:rFonts w:ascii="Calibri" w:hAnsi="Calibri"/>
          <w:b/>
        </w:rPr>
      </w:pPr>
      <w:bookmarkStart w:id="0" w:name="_GoBack"/>
      <w:r w:rsidRPr="009B1569">
        <w:rPr>
          <w:rFonts w:ascii="Calibri" w:hAnsi="Calibri"/>
          <w:b/>
        </w:rPr>
        <w:t>Metodické doporučení</w:t>
      </w:r>
      <w:r w:rsidRPr="009B1569">
        <w:rPr>
          <w:rFonts w:ascii="Calibri" w:hAnsi="Calibri"/>
          <w:b/>
        </w:rPr>
        <w:br/>
        <w:t>k bezpečnosti dětí, žáků a studentů ve školách a školských zařízeních –</w:t>
      </w:r>
      <w:r w:rsidRPr="009B1569">
        <w:rPr>
          <w:rFonts w:ascii="Calibri" w:hAnsi="Calibri"/>
          <w:b/>
        </w:rPr>
        <w:br/>
        <w:t>Minimální standard bezpečnosti</w:t>
      </w:r>
    </w:p>
    <w:p w:rsidR="00EB5EEE" w:rsidRPr="009B1569" w:rsidRDefault="00EB5EEE" w:rsidP="00EB5EEE">
      <w:pPr>
        <w:rPr>
          <w:rFonts w:ascii="Calibri" w:eastAsia="Calibri" w:hAnsi="Calibri"/>
          <w:b/>
        </w:rPr>
      </w:pPr>
    </w:p>
    <w:p w:rsidR="00EB5EEE" w:rsidRPr="009B1569" w:rsidRDefault="00EB5EEE" w:rsidP="00EB5EEE">
      <w:pPr>
        <w:spacing w:line="360" w:lineRule="auto"/>
        <w:rPr>
          <w:rFonts w:ascii="Calibri" w:eastAsia="Calibri" w:hAnsi="Calibri"/>
          <w:b/>
        </w:rPr>
      </w:pPr>
      <w:r w:rsidRPr="009B1569">
        <w:rPr>
          <w:rFonts w:ascii="Calibri" w:eastAsia="Calibri" w:hAnsi="Calibri"/>
          <w:b/>
        </w:rPr>
        <w:t>Č.j.: MSMT-1981/2015-1</w:t>
      </w:r>
    </w:p>
    <w:p w:rsidR="00EB5EEE" w:rsidRPr="00EB5EEE" w:rsidRDefault="00EB5EEE" w:rsidP="00EB5EEE">
      <w:pPr>
        <w:spacing w:line="360" w:lineRule="auto"/>
        <w:rPr>
          <w:rFonts w:ascii="Calibri" w:eastAsia="Calibri" w:hAnsi="Calibri"/>
          <w:b/>
          <w:color w:val="0000FF"/>
        </w:rPr>
      </w:pPr>
      <w:r w:rsidRPr="00EB5EEE">
        <w:rPr>
          <w:rFonts w:ascii="Calibri" w:eastAsia="Calibri" w:hAnsi="Calibri"/>
          <w:b/>
          <w:color w:val="0000FF"/>
        </w:rPr>
        <w:t>(aktualizovaná verze 2017)</w:t>
      </w:r>
    </w:p>
    <w:bookmarkEnd w:id="0"/>
    <w:p w:rsidR="00EB5EEE" w:rsidRPr="009B1569" w:rsidRDefault="00EB5EEE" w:rsidP="00EB5EEE">
      <w:pPr>
        <w:spacing w:line="360" w:lineRule="auto"/>
        <w:rPr>
          <w:rFonts w:ascii="Calibri" w:eastAsia="Calibri" w:hAnsi="Calibri"/>
        </w:rPr>
      </w:pPr>
      <w:r w:rsidRPr="009B1569">
        <w:rPr>
          <w:rFonts w:ascii="Calibri" w:eastAsia="Calibri" w:hAnsi="Calibri"/>
          <w:b/>
        </w:rPr>
        <w:t>Minimální standard bezpečnosti</w:t>
      </w:r>
      <w:r w:rsidRPr="009B1569">
        <w:rPr>
          <w:rFonts w:ascii="Calibri" w:eastAsia="Calibri" w:hAnsi="Calibri"/>
        </w:rPr>
        <w:t xml:space="preserve"> právnické osoby vykonávající činnost školy nebo školského zařízení (dále jen „škola“) zahrnuje opatření prostorová, organizačně-technická, personální a opatření v oblasti zpracované dokumentace. Jeho význam je metodický, ne normativní. Mimo tato opatření, která směřují především k zajištění fyzické bezpečnosti dětí, žáků a studentů (dále jen „žáků“), má škola na zřeteli rovněž psychické bezpečí žáků, a proto opatření k zajištění fyzické bezpečnosti ve škole nesmí snížit psychické bezpečí a komfort žáků.</w:t>
      </w:r>
    </w:p>
    <w:p w:rsidR="00EB5EEE" w:rsidRPr="009B1569" w:rsidRDefault="00EB5EEE" w:rsidP="00EB5EEE">
      <w:pPr>
        <w:spacing w:line="360" w:lineRule="auto"/>
        <w:rPr>
          <w:rFonts w:ascii="Calibri" w:eastAsia="Calibri" w:hAnsi="Calibri"/>
        </w:rPr>
      </w:pPr>
      <w:r w:rsidRPr="009B1569">
        <w:rPr>
          <w:rFonts w:ascii="Calibri" w:eastAsia="Calibri" w:hAnsi="Calibri"/>
        </w:rPr>
        <w:t>Problematiku zajištění minimálního standardu bezpečnosti je třeba vnímat v těchto rovinách:</w:t>
      </w:r>
    </w:p>
    <w:p w:rsidR="00EB5EEE" w:rsidRPr="009B1569" w:rsidRDefault="00EB5EEE" w:rsidP="00EB5EEE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Calibri" w:eastAsia="Calibri" w:hAnsi="Calibri"/>
          <w:sz w:val="22"/>
        </w:rPr>
      </w:pPr>
      <w:r w:rsidRPr="009B1569">
        <w:rPr>
          <w:rFonts w:ascii="Calibri" w:eastAsia="Calibri" w:hAnsi="Calibri"/>
          <w:b/>
          <w:sz w:val="22"/>
        </w:rPr>
        <w:t>Prevencí předcházet mimořádným událostem</w:t>
      </w:r>
      <w:r w:rsidRPr="009B1569">
        <w:rPr>
          <w:rFonts w:ascii="Calibri" w:eastAsia="Calibri" w:hAnsi="Calibri"/>
          <w:sz w:val="22"/>
        </w:rPr>
        <w:t xml:space="preserve"> (technická opatření, poučení zaměstnanců a žáků, nácvik řešení mimořádných událostí dle specifických podmínek škol, přehled o </w:t>
      </w:r>
      <w:r>
        <w:rPr>
          <w:rFonts w:ascii="Calibri" w:eastAsia="Calibri" w:hAnsi="Calibri"/>
          <w:sz w:val="22"/>
        </w:rPr>
        <w:t>cizích osobách</w:t>
      </w:r>
      <w:r w:rsidRPr="009B1569">
        <w:rPr>
          <w:rFonts w:ascii="Calibri" w:eastAsia="Calibri" w:hAnsi="Calibri"/>
          <w:sz w:val="22"/>
        </w:rPr>
        <w:t xml:space="preserve"> v objektu, spolupráce se složkami Integrovaného záchranného </w:t>
      </w:r>
      <w:proofErr w:type="gramStart"/>
      <w:r w:rsidRPr="009B1569">
        <w:rPr>
          <w:rFonts w:ascii="Calibri" w:eastAsia="Calibri" w:hAnsi="Calibri"/>
          <w:sz w:val="22"/>
        </w:rPr>
        <w:t>systému,…</w:t>
      </w:r>
      <w:proofErr w:type="gramEnd"/>
      <w:r w:rsidRPr="009B1569">
        <w:rPr>
          <w:rFonts w:ascii="Calibri" w:eastAsia="Calibri" w:hAnsi="Calibri"/>
          <w:sz w:val="22"/>
        </w:rPr>
        <w:t>).</w:t>
      </w:r>
    </w:p>
    <w:p w:rsidR="00EB5EEE" w:rsidRPr="009B1569" w:rsidRDefault="00EB5EEE" w:rsidP="00EB5EEE">
      <w:pPr>
        <w:pStyle w:val="Odstavecseseznamem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eastAsia="Calibri" w:hAnsi="Calibri"/>
          <w:sz w:val="22"/>
        </w:rPr>
      </w:pPr>
      <w:r w:rsidRPr="009B1569">
        <w:rPr>
          <w:rFonts w:ascii="Calibri" w:eastAsia="Calibri" w:hAnsi="Calibri"/>
          <w:b/>
          <w:sz w:val="22"/>
        </w:rPr>
        <w:t>Účinně a efektivně reagovat na mimořádnou událost</w:t>
      </w:r>
      <w:r w:rsidRPr="009B1569">
        <w:rPr>
          <w:rFonts w:ascii="Calibri" w:eastAsia="Calibri" w:hAnsi="Calibri"/>
          <w:sz w:val="22"/>
        </w:rPr>
        <w:t xml:space="preserve">, která nastala a snažit se o omezení škod na životech a zdraví zaměstnanců i žáků. </w:t>
      </w:r>
    </w:p>
    <w:p w:rsidR="00EB5EEE" w:rsidRPr="009B1569" w:rsidRDefault="00EB5EEE" w:rsidP="00EB5EEE">
      <w:pPr>
        <w:pStyle w:val="Odstavecseseznamem"/>
        <w:numPr>
          <w:ilvl w:val="0"/>
          <w:numId w:val="9"/>
        </w:numPr>
        <w:spacing w:after="240" w:line="360" w:lineRule="auto"/>
        <w:ind w:left="714" w:hanging="357"/>
        <w:jc w:val="both"/>
        <w:rPr>
          <w:rFonts w:ascii="Calibri" w:eastAsia="Calibri" w:hAnsi="Calibri"/>
          <w:sz w:val="22"/>
        </w:rPr>
      </w:pPr>
      <w:r w:rsidRPr="009B1569">
        <w:rPr>
          <w:rFonts w:ascii="Calibri" w:eastAsia="Calibri" w:hAnsi="Calibri"/>
          <w:b/>
          <w:sz w:val="22"/>
        </w:rPr>
        <w:t xml:space="preserve">Vyhodnotit mimořádnou událost a přijmout opatření, </w:t>
      </w:r>
      <w:r w:rsidRPr="009B1569">
        <w:rPr>
          <w:rFonts w:ascii="Calibri" w:eastAsia="Calibri" w:hAnsi="Calibri"/>
          <w:sz w:val="22"/>
        </w:rPr>
        <w:t>aby se nemohla opakovat ze stejných příčin i v budoucnu).</w:t>
      </w:r>
    </w:p>
    <w:p w:rsidR="00EB5EEE" w:rsidRPr="009B1569" w:rsidRDefault="00EB5EEE" w:rsidP="00EB5EEE">
      <w:pPr>
        <w:pStyle w:val="Odstavecseseznamem"/>
        <w:numPr>
          <w:ilvl w:val="0"/>
          <w:numId w:val="1"/>
        </w:numPr>
        <w:shd w:val="clear" w:color="auto" w:fill="8DB3E2"/>
        <w:spacing w:after="200" w:line="360" w:lineRule="auto"/>
        <w:ind w:left="278" w:hanging="278"/>
        <w:contextualSpacing/>
        <w:jc w:val="both"/>
        <w:rPr>
          <w:rFonts w:ascii="Calibri" w:hAnsi="Calibri"/>
          <w:b/>
          <w:sz w:val="22"/>
        </w:rPr>
      </w:pPr>
      <w:r w:rsidRPr="009B1569">
        <w:rPr>
          <w:rFonts w:ascii="Calibri" w:hAnsi="Calibri"/>
          <w:b/>
          <w:sz w:val="22"/>
        </w:rPr>
        <w:t>Prostorová a organizačně-technická opatření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určí a využívá pro vstup žáků, zaměstnanců a cizích osob (návštěv, kontrol, atp.) zpravidla pouze jeden vchod, který je zabezpečen proti vniknutí cizích osob a vstup do něj je kontrolován (monitorován); ostatní možné vstupy do budov jsou zabezpečeny (nesmí však bránit bezpečnému úniku osob v případě požáru) a užívají se případně jako vstupy pro zaměstnance nebo pro cizí osoby, které se účastní dalšího vzdělávání v jiných prostorách školy (např. odborný výcvik, kurzy, školení, atp.), přičemž i v tomto případě má škola zajištěnu kontrolu vstupu. Školy pavilonové dispozice přijímají t</w:t>
      </w:r>
      <w:r>
        <w:rPr>
          <w:rFonts w:ascii="Calibri" w:hAnsi="Calibri"/>
          <w:sz w:val="22"/>
        </w:rPr>
        <w:t>a</w:t>
      </w:r>
      <w:r w:rsidRPr="009B1569">
        <w:rPr>
          <w:rFonts w:ascii="Calibri" w:hAnsi="Calibri"/>
          <w:sz w:val="22"/>
        </w:rPr>
        <w:t>to opatření přiměřeně podle svých podmínek.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 xml:space="preserve">Škola vpouští cizí osoby do prostor školy až po ověření účelu jejich vstupu do budovy (doprovod žáka, návštěva pedagoga či ředitele </w:t>
      </w:r>
      <w:proofErr w:type="gramStart"/>
      <w:r w:rsidRPr="009B1569">
        <w:rPr>
          <w:rFonts w:ascii="Calibri" w:hAnsi="Calibri"/>
          <w:sz w:val="22"/>
        </w:rPr>
        <w:t>školy,</w:t>
      </w:r>
      <w:proofErr w:type="gramEnd"/>
      <w:r w:rsidRPr="009B1569">
        <w:rPr>
          <w:rFonts w:ascii="Calibri" w:hAnsi="Calibri"/>
          <w:sz w:val="22"/>
        </w:rPr>
        <w:t xml:space="preserve"> apod.); to platí též v případě vjezdu dopravním prostředkem do areálu školy. Vstupy a vjezdy do areálu školy jsou kontrolovány (monitorovány).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 xml:space="preserve">Škola má uzamykatelné vstupy do budov i dalších prostor v areálu školy (např. školní zahrady, školního dvora, </w:t>
      </w:r>
      <w:proofErr w:type="gramStart"/>
      <w:r w:rsidRPr="009B1569">
        <w:rPr>
          <w:rFonts w:ascii="Calibri" w:hAnsi="Calibri"/>
          <w:sz w:val="22"/>
        </w:rPr>
        <w:t>parkoviště,</w:t>
      </w:r>
      <w:proofErr w:type="gramEnd"/>
      <w:r w:rsidRPr="009B1569">
        <w:rPr>
          <w:rFonts w:ascii="Calibri" w:hAnsi="Calibri"/>
          <w:sz w:val="22"/>
        </w:rPr>
        <w:t xml:space="preserve"> apod.), má zabezpečená okna a dveře proti volnému vniknutí osob. Na začátku, v průběhu dne i na jeho konci škola vstupy zabezpečí (klíčový režim musí být vyřešen tak, aby byly únikové cesty trvale volné a umožňovaly bezpečný únik z budovy).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zamezuje nepovolaným osobám přístup do dalších prostor</w:t>
      </w:r>
      <w:r>
        <w:rPr>
          <w:rFonts w:ascii="Calibri" w:hAnsi="Calibri"/>
          <w:sz w:val="22"/>
        </w:rPr>
        <w:t xml:space="preserve">, </w:t>
      </w:r>
      <w:r w:rsidRPr="009B1569">
        <w:rPr>
          <w:rFonts w:ascii="Calibri" w:hAnsi="Calibri"/>
          <w:sz w:val="22"/>
        </w:rPr>
        <w:t xml:space="preserve">budov i areálu školy, které nejsou určeny pro poskytování vzdělávání (např. sklepy, půdy, sklady, </w:t>
      </w:r>
      <w:proofErr w:type="gramStart"/>
      <w:r w:rsidRPr="009B1569">
        <w:rPr>
          <w:rFonts w:ascii="Calibri" w:hAnsi="Calibri"/>
          <w:sz w:val="22"/>
        </w:rPr>
        <w:t>kotelny,</w:t>
      </w:r>
      <w:proofErr w:type="gramEnd"/>
      <w:r w:rsidRPr="009B1569">
        <w:rPr>
          <w:rFonts w:ascii="Calibri" w:hAnsi="Calibri"/>
          <w:sz w:val="22"/>
        </w:rPr>
        <w:t xml:space="preserve"> apod.), s výjimkou specifických, zvláště provozních případů (revize, kontroly, prohlídky, stavební úpravy, apod.).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lastRenderedPageBreak/>
        <w:t xml:space="preserve">Škola má provedenu úpravu zeleně pro zvýšení přehlednosti prostor v okolí přístupových cest i další okolní terénní úpravy. 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má ve svém areálu funkční venkovní osvětlení (nejlépe ovládané pohybovým čidlem) přístupových cest, a to i v době mimo provoz školy.</w:t>
      </w:r>
    </w:p>
    <w:p w:rsidR="00EB5EEE" w:rsidRPr="009B1569" w:rsidRDefault="00EB5EEE" w:rsidP="00EB5EEE">
      <w:pPr>
        <w:spacing w:line="360" w:lineRule="auto"/>
        <w:rPr>
          <w:rFonts w:ascii="Calibri" w:hAnsi="Calibri"/>
          <w:b/>
        </w:rPr>
      </w:pPr>
      <w:r w:rsidRPr="009B1569">
        <w:rPr>
          <w:rFonts w:ascii="Calibri" w:hAnsi="Calibri"/>
          <w:b/>
        </w:rPr>
        <w:t>Ke splnění těchto požadavků se předpokládá zajištění a provedení například:</w:t>
      </w:r>
    </w:p>
    <w:p w:rsidR="00EB5EEE" w:rsidRPr="009B1569" w:rsidRDefault="00EB5EEE" w:rsidP="00EB5EEE">
      <w:pPr>
        <w:pStyle w:val="Odstavecseseznamem"/>
        <w:numPr>
          <w:ilvl w:val="0"/>
          <w:numId w:val="2"/>
        </w:numPr>
        <w:spacing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bezpečnostních zámků,</w:t>
      </w:r>
    </w:p>
    <w:p w:rsidR="00EB5EEE" w:rsidRPr="009B1569" w:rsidRDefault="00EB5EEE" w:rsidP="00EB5EEE">
      <w:pPr>
        <w:pStyle w:val="Odstavecseseznamem"/>
        <w:numPr>
          <w:ilvl w:val="0"/>
          <w:numId w:val="2"/>
        </w:numPr>
        <w:spacing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závor,</w:t>
      </w:r>
    </w:p>
    <w:p w:rsidR="00EB5EEE" w:rsidRPr="009B1569" w:rsidRDefault="00EB5EEE" w:rsidP="00EB5EEE">
      <w:pPr>
        <w:pStyle w:val="Odstavecseseznamem"/>
        <w:numPr>
          <w:ilvl w:val="0"/>
          <w:numId w:val="2"/>
        </w:numPr>
        <w:spacing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oplocení,</w:t>
      </w:r>
    </w:p>
    <w:p w:rsidR="00EB5EEE" w:rsidRPr="009B1569" w:rsidRDefault="00EB5EEE" w:rsidP="00EB5EEE">
      <w:pPr>
        <w:pStyle w:val="Odstavecseseznamem"/>
        <w:numPr>
          <w:ilvl w:val="0"/>
          <w:numId w:val="2"/>
        </w:numPr>
        <w:spacing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osvětlení,</w:t>
      </w:r>
    </w:p>
    <w:p w:rsidR="00EB5EEE" w:rsidRPr="009B1569" w:rsidRDefault="00EB5EEE" w:rsidP="00EB5EEE">
      <w:pPr>
        <w:pStyle w:val="Odstavecseseznamem"/>
        <w:numPr>
          <w:ilvl w:val="0"/>
          <w:numId w:val="2"/>
        </w:numPr>
        <w:spacing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drobných stavebních a terénních úprav.</w:t>
      </w:r>
    </w:p>
    <w:p w:rsidR="00EB5EEE" w:rsidRPr="009B1569" w:rsidRDefault="00EB5EEE" w:rsidP="00EB5EEE">
      <w:pPr>
        <w:pStyle w:val="Odstavecseseznamem"/>
        <w:numPr>
          <w:ilvl w:val="0"/>
          <w:numId w:val="1"/>
        </w:numPr>
        <w:shd w:val="clear" w:color="auto" w:fill="8DB3E2"/>
        <w:spacing w:after="200" w:line="360" w:lineRule="auto"/>
        <w:ind w:left="278" w:hanging="278"/>
        <w:contextualSpacing/>
        <w:jc w:val="both"/>
        <w:rPr>
          <w:rFonts w:ascii="Calibri" w:hAnsi="Calibri"/>
          <w:b/>
          <w:sz w:val="22"/>
        </w:rPr>
      </w:pPr>
      <w:r w:rsidRPr="009B1569">
        <w:rPr>
          <w:rFonts w:ascii="Calibri" w:hAnsi="Calibri"/>
          <w:b/>
          <w:sz w:val="22"/>
        </w:rPr>
        <w:t>Personální opatření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zajišťuje průběžný dohled nad žáky ve všech prostorách, a to od okamžiku vstupu do prostor školy po celý průběh výchovně-vzdělávacího procesu i po jeho ukončení až po dobu opuštění budovy či areálu školy. O zajištění náležitého dohledu rozhoduje ředitel školy. Vychází přitom z konkrétních podmínek a přihlíží zejména k charakteru vykonávané činnosti, věku žáků a jejich rozumovému rozvoji (vyspělosti), dopravním a jiným rizikům. Ředitel školy zpravidla pověřuje dohledem pedagogického pracovníka, stanoví rozvrh dohledu nad žáky a vyvěsí ho na takovém místě, aby bylo možné při kontrolní činnosti snadno rozpoznat, který pedagogický pracovník dohled vykonává.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má zajištěnu vzájemnou zastupitelnost pedagogických či nepedagogických pracovníků vykonávajících dohled nad žáky.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zajišťuje dohled nad žáky i při akcích souvisejících se vzděláváním, které jsou realizovány mimo školu. Při pravidelném využívání budov či místností (např. tělocvičen obcí), které nejsou v majetku školy, je nutné vyžadovat od pronajímatele ujištění o bezpečném stavu budovy či místnosti (např. doložením revizních zpráv se závěrem „schopno bezpečného provozu“).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v případě avízovaného nebezpečí využívá možnosti posílení ostrahy budovy městskou či státní policií, případně hlídkami bezpečnostních agentur (dle místních zvyklostí).</w:t>
      </w:r>
    </w:p>
    <w:p w:rsidR="00EB5EEE" w:rsidRPr="009B1569" w:rsidRDefault="00EB5EEE" w:rsidP="00EB5EEE">
      <w:pPr>
        <w:spacing w:line="360" w:lineRule="auto"/>
        <w:rPr>
          <w:rFonts w:ascii="Calibri" w:hAnsi="Calibri"/>
          <w:b/>
        </w:rPr>
      </w:pPr>
      <w:r w:rsidRPr="009B1569">
        <w:rPr>
          <w:rFonts w:ascii="Calibri" w:hAnsi="Calibri"/>
          <w:b/>
        </w:rPr>
        <w:t>Ke splnění těchto požadavků se předpokládá zajištění:</w:t>
      </w:r>
    </w:p>
    <w:p w:rsidR="00EB5EEE" w:rsidRPr="009B1569" w:rsidRDefault="00EB5EEE" w:rsidP="00EB5EEE">
      <w:pPr>
        <w:pStyle w:val="Odstavecseseznamem"/>
        <w:numPr>
          <w:ilvl w:val="0"/>
          <w:numId w:val="3"/>
        </w:numPr>
        <w:spacing w:line="360" w:lineRule="auto"/>
        <w:ind w:left="714" w:hanging="357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finančních prostředků pro vrátné nebo jiné osoby vykonávající ostrahu školy,</w:t>
      </w:r>
    </w:p>
    <w:p w:rsidR="00EB5EEE" w:rsidRPr="009B1569" w:rsidRDefault="00EB5EEE" w:rsidP="00EB5EEE">
      <w:pPr>
        <w:pStyle w:val="Odstavecseseznamem"/>
        <w:numPr>
          <w:ilvl w:val="0"/>
          <w:numId w:val="3"/>
        </w:numPr>
        <w:spacing w:line="360" w:lineRule="auto"/>
        <w:ind w:left="714" w:hanging="357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finančních prostředků na nárůst pracovních úvazků na zajištění dohledu.</w:t>
      </w:r>
    </w:p>
    <w:p w:rsidR="00EB5EEE" w:rsidRPr="009B1569" w:rsidRDefault="00EB5EEE" w:rsidP="00EB5EEE">
      <w:pPr>
        <w:spacing w:before="120" w:line="360" w:lineRule="auto"/>
        <w:rPr>
          <w:rFonts w:ascii="Calibri" w:hAnsi="Calibri"/>
        </w:rPr>
      </w:pPr>
      <w:r w:rsidRPr="009B1569">
        <w:rPr>
          <w:rFonts w:ascii="Calibri" w:hAnsi="Calibri"/>
        </w:rPr>
        <w:t>Jednou z možností, jak získat finanční prostředky pro zajištění činnosti vrátného, je vytvoření tzv. společensky účelného pracovního místa (za stanovených kritérií pro výběr zaměstnance) na základě dohody s Úřadem práce České republiky. V rámci systému aktivní politiky zaměstnanosti tak může škola čerpat finanční příspěvek na úhradu mzdových nákladů.</w:t>
      </w:r>
    </w:p>
    <w:p w:rsidR="00EB5EEE" w:rsidRPr="009B1569" w:rsidRDefault="00EB5EEE" w:rsidP="00EB5EEE">
      <w:pPr>
        <w:spacing w:line="360" w:lineRule="auto"/>
        <w:rPr>
          <w:rFonts w:ascii="Calibri" w:hAnsi="Calibri"/>
          <w:b/>
        </w:rPr>
      </w:pPr>
    </w:p>
    <w:p w:rsidR="00EB5EEE" w:rsidRPr="009B1569" w:rsidRDefault="00EB5EEE" w:rsidP="00EB5EEE">
      <w:pPr>
        <w:pStyle w:val="Odstavecseseznamem"/>
        <w:numPr>
          <w:ilvl w:val="0"/>
          <w:numId w:val="1"/>
        </w:numPr>
        <w:shd w:val="clear" w:color="auto" w:fill="8DB3E2"/>
        <w:spacing w:after="240" w:line="360" w:lineRule="auto"/>
        <w:ind w:left="278" w:hanging="278"/>
        <w:jc w:val="both"/>
        <w:rPr>
          <w:rFonts w:ascii="Calibri" w:hAnsi="Calibri"/>
          <w:b/>
          <w:sz w:val="22"/>
        </w:rPr>
      </w:pPr>
      <w:r w:rsidRPr="009B1569">
        <w:rPr>
          <w:rFonts w:ascii="Calibri" w:hAnsi="Calibri"/>
          <w:b/>
          <w:sz w:val="22"/>
        </w:rPr>
        <w:t>Vnitřní předpisy, dokumentace školy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before="240" w:after="120" w:line="360" w:lineRule="auto"/>
        <w:ind w:left="357" w:hanging="357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lastRenderedPageBreak/>
        <w:t xml:space="preserve">Škola, ve spolupráci s osobami odborně způsobilými v prevenci rizik a osobami odborně způsobilými v oblasti požární ochrany, analyzuje rizika podle podmínek a charakteru své činnosti a má zpracovány dokumenty pro mimořádné události (např. neoprávněné vniknutí do objektu, přítomnost neznámého nebo nebezpečného předmětu nebo látky ve škole, útok vedený zvenčí či zevnitř, braní rukojmí, vandalismus, </w:t>
      </w:r>
      <w:proofErr w:type="gramStart"/>
      <w:r w:rsidRPr="009B1569">
        <w:rPr>
          <w:rFonts w:ascii="Calibri" w:hAnsi="Calibri"/>
          <w:sz w:val="22"/>
        </w:rPr>
        <w:t>šikana,…</w:t>
      </w:r>
      <w:proofErr w:type="gramEnd"/>
      <w:r w:rsidRPr="009B1569">
        <w:rPr>
          <w:rFonts w:ascii="Calibri" w:hAnsi="Calibri"/>
          <w:sz w:val="22"/>
        </w:rPr>
        <w:t>).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before="240" w:after="120" w:line="360" w:lineRule="auto"/>
        <w:ind w:left="357" w:hanging="357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 xml:space="preserve">Škola má zajištěny mechanizmy ověřování účinnosti výše uvedené dokumentace, včetně periodických zkoušek technických prostředků a zařízení a spolupracuje se složkami integrovaného záchranného systému a s orgány místní správy. 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má v pracovním řádu, školním řádu/vnitřním řádu a v dokumentaci podle jiných právních předpisů, upraveny i další zvláštní povinnosti zaměstnanců, např. povinnosti a postupy při zajišťování dohledu, povinnost informovat zaměstnavatele o vzniku mimořádných událostí, povinnost důsledně dbát na účinnost technických a jiných prostředků chránících bezpečnost budov, povinnost seznamovat zaměstnance a žáky školy s opatřeními zajišťujícími bezpečnost a ochranu zdraví (na začátku školního roku, průběžné opakování dle vyhodnocených rizik, povinnost provedení záznamu o poučení).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 xml:space="preserve">Škola má vymezen formální rámec bezpečnosti a ochrany zdraví, včetně pojmenování nebezpečí, rizik možného ohrožení života a zdraví žáků, spolu s přijetím adekvátních opatření. Škola seznamuje žáky a zaměstnance s ustanoveními předpisů a pokynů k zajištění bezpečnosti a ochrany zdraví, včetně pojmenování nebezpečí, rizik možného ohrožení života a zdraví, pokud se vztahují k příslušné činnosti, akci nebo pracovišti a průběžně také s ustanoveními školního nebo vnitřního řádu, řádů dílen, laboratoří, odborných pracoven, sportovních zařízení, tělocvičen, hřišť a jiných pracovišť a s dalšími opatřeními, jež mohou mít bezpečnostně preventivní význam při uplatňování základních pravidel bezpečného chování (např. cizí osoby ve školách, technické zabezpečení vstupu do budov, dohled pedagogických pracovníků, způsob příchodu a odchodu, zabezpečovací prvky ve škole). Škola má popsány a uplatňuje účelné způsoby chování v situacích ohrožujících zdraví, má stanovena zvláštní pravidla při některých činnostech – tělesné výchově, plavání, koupání, lyžařském výcviku, sportovně-turistickém kurzu, soutěžích, přehlídkách, výletech, škole v přírodě, zahraničních </w:t>
      </w:r>
      <w:proofErr w:type="gramStart"/>
      <w:r w:rsidRPr="009B1569">
        <w:rPr>
          <w:rFonts w:ascii="Calibri" w:hAnsi="Calibri"/>
          <w:sz w:val="22"/>
        </w:rPr>
        <w:t>výjezdech,</w:t>
      </w:r>
      <w:proofErr w:type="gramEnd"/>
      <w:r w:rsidRPr="009B1569">
        <w:rPr>
          <w:rFonts w:ascii="Calibri" w:hAnsi="Calibri"/>
          <w:sz w:val="22"/>
        </w:rPr>
        <w:t xml:space="preserve"> apod.</w:t>
      </w:r>
    </w:p>
    <w:p w:rsidR="00EB5EEE" w:rsidRPr="009B1569" w:rsidRDefault="00EB5EEE" w:rsidP="00EB5EEE">
      <w:pPr>
        <w:pStyle w:val="Odstavecseseznamem"/>
        <w:numPr>
          <w:ilvl w:val="0"/>
          <w:numId w:val="4"/>
        </w:numPr>
        <w:spacing w:after="120" w:line="360" w:lineRule="auto"/>
        <w:contextualSpacing/>
        <w:jc w:val="both"/>
        <w:rPr>
          <w:rFonts w:ascii="Calibri" w:hAnsi="Calibri"/>
          <w:sz w:val="22"/>
        </w:rPr>
      </w:pPr>
      <w:r w:rsidRPr="009B1569">
        <w:rPr>
          <w:rFonts w:ascii="Calibri" w:hAnsi="Calibri"/>
          <w:sz w:val="22"/>
        </w:rPr>
        <w:t>Škola informuje zákonné zástupce žáků o vydání a obsahu školního nebo vnitřního řádu.</w:t>
      </w:r>
    </w:p>
    <w:p w:rsidR="00EB5EEE" w:rsidRPr="009B1569" w:rsidRDefault="00EB5EEE" w:rsidP="00EB5EEE">
      <w:pPr>
        <w:spacing w:after="120" w:line="360" w:lineRule="auto"/>
        <w:rPr>
          <w:rFonts w:ascii="Calibri" w:hAnsi="Calibri"/>
        </w:rPr>
      </w:pPr>
      <w:r w:rsidRPr="009B1569">
        <w:rPr>
          <w:rFonts w:ascii="Calibri" w:hAnsi="Calibri"/>
        </w:rPr>
        <w:t xml:space="preserve">Od výše uvedeného minimálního standardu by se měla škola odchýlit jen v nezbytně nutných a odůvodněných případech, budou-li to vyžadovat místní podmínky. V případě jakýchkoli odchylek je však třeba přijmout taková opatření, aby byla bezpečnost a ochrana zdraví žáků i zaměstnanců zajištěna jinými konkrétními způsoby, aniž by byly v rozporu s výše uvedenými principy. Současně musí škola plnit povinnosti, které jí vyplývají z právních předpisů. </w:t>
      </w:r>
    </w:p>
    <w:p w:rsidR="00EB5EEE" w:rsidRPr="009B1569" w:rsidRDefault="00EB5EEE" w:rsidP="00EB5EEE">
      <w:pPr>
        <w:spacing w:line="360" w:lineRule="auto"/>
        <w:rPr>
          <w:rFonts w:ascii="Calibri" w:hAnsi="Calibri"/>
        </w:rPr>
      </w:pPr>
      <w:r w:rsidRPr="009B1569">
        <w:rPr>
          <w:rFonts w:ascii="Calibri" w:hAnsi="Calibri"/>
        </w:rPr>
        <w:t xml:space="preserve">Školy mají možnost zajistit bezpečnost osob v areálu školy také dalšími, např. technickými prostředky, které jdou nad rámec výše vymezených minimálních požadavků (např. vstup na čipy, turnikety, kamerový systém, čipy, elektronický vrátný, alarm s tísňovými tlačítky napojený na </w:t>
      </w:r>
      <w:proofErr w:type="gramStart"/>
      <w:r w:rsidRPr="009B1569">
        <w:rPr>
          <w:rFonts w:ascii="Calibri" w:hAnsi="Calibri"/>
        </w:rPr>
        <w:t>dispečink,</w:t>
      </w:r>
      <w:proofErr w:type="gramEnd"/>
      <w:r w:rsidRPr="009B1569">
        <w:rPr>
          <w:rFonts w:ascii="Calibri" w:hAnsi="Calibri"/>
        </w:rPr>
        <w:t xml:space="preserve"> apod.); tyto technické prostředky však nemohou plně nahradit dohled prováděný fyzickou osobou, a jde-li o kamerový systém, bere škola před jeho zavedením v úvahu i ochranu soukromí žáků i zaměstnanců školy.</w:t>
      </w:r>
    </w:p>
    <w:p w:rsidR="00EB5EEE" w:rsidRPr="009B1569" w:rsidRDefault="00EB5EEE" w:rsidP="00EB5EEE">
      <w:pPr>
        <w:spacing w:before="120" w:after="120" w:line="360" w:lineRule="auto"/>
        <w:rPr>
          <w:rFonts w:ascii="Calibri" w:hAnsi="Calibri"/>
        </w:rPr>
      </w:pPr>
      <w:r w:rsidRPr="009B1569">
        <w:rPr>
          <w:rFonts w:ascii="Calibri" w:hAnsi="Calibri"/>
        </w:rPr>
        <w:t xml:space="preserve">Školy při </w:t>
      </w:r>
      <w:r>
        <w:rPr>
          <w:rFonts w:ascii="Calibri" w:hAnsi="Calibri"/>
        </w:rPr>
        <w:t>eliminaci</w:t>
      </w:r>
      <w:r w:rsidRPr="009B1569">
        <w:rPr>
          <w:rFonts w:ascii="Calibri" w:hAnsi="Calibri"/>
        </w:rPr>
        <w:t xml:space="preserve"> bezpečnostních rizik spolupracují se zřizovatelem, se zákonnými zástupci žáků, zletilými žáky, policií, složkami integrovaného záchranného systému a se školskou radou. </w:t>
      </w:r>
    </w:p>
    <w:p w:rsidR="00EB5EEE" w:rsidRPr="009B1569" w:rsidRDefault="00EB5EEE" w:rsidP="00EB5EEE">
      <w:pPr>
        <w:rPr>
          <w:rFonts w:ascii="Calibri" w:hAnsi="Calibri"/>
        </w:rPr>
      </w:pPr>
    </w:p>
    <w:p w:rsidR="00EB5EEE" w:rsidRPr="009B1569" w:rsidRDefault="00EB5EEE" w:rsidP="00EB5EEE">
      <w:pPr>
        <w:rPr>
          <w:rFonts w:ascii="Calibri" w:hAnsi="Calibri"/>
        </w:rPr>
      </w:pPr>
      <w:r w:rsidRPr="009B1569">
        <w:rPr>
          <w:rFonts w:ascii="Calibri" w:hAnsi="Calibri"/>
        </w:rPr>
        <w:lastRenderedPageBreak/>
        <w:t>Další předpisy související se zabezpečením budov:</w:t>
      </w:r>
    </w:p>
    <w:p w:rsidR="00EB5EEE" w:rsidRDefault="00EB5EEE" w:rsidP="00EB5EEE">
      <w:pPr>
        <w:rPr>
          <w:rFonts w:ascii="Calibri" w:hAnsi="Calibri"/>
        </w:rPr>
      </w:pPr>
    </w:p>
    <w:p w:rsidR="00EB5EEE" w:rsidRPr="00EB5EEE" w:rsidRDefault="00EB5EEE" w:rsidP="00EB5EEE">
      <w:pPr>
        <w:rPr>
          <w:rFonts w:ascii="Calibri" w:hAnsi="Calibri"/>
          <w:b/>
          <w:color w:val="0000FF"/>
        </w:rPr>
      </w:pPr>
      <w:r w:rsidRPr="00EB5EEE">
        <w:rPr>
          <w:rFonts w:ascii="Calibri" w:hAnsi="Calibri"/>
          <w:b/>
          <w:color w:val="0000FF"/>
        </w:rPr>
        <w:t>Bezpečnostní standard k ochraně škol a školských zařízení</w:t>
      </w:r>
    </w:p>
    <w:p w:rsidR="00EB5EEE" w:rsidRPr="00EB5EEE" w:rsidRDefault="00EB5EEE" w:rsidP="00EB5EEE">
      <w:pPr>
        <w:pStyle w:val="Odstavecseseznamem"/>
        <w:numPr>
          <w:ilvl w:val="0"/>
          <w:numId w:val="5"/>
        </w:numPr>
        <w:contextualSpacing/>
        <w:jc w:val="both"/>
        <w:rPr>
          <w:rFonts w:ascii="Calibri" w:hAnsi="Calibri"/>
          <w:color w:val="0000FF"/>
          <w:sz w:val="22"/>
          <w:szCs w:val="22"/>
        </w:rPr>
      </w:pPr>
      <w:r w:rsidRPr="00EB5EEE">
        <w:rPr>
          <w:rFonts w:ascii="Calibri" w:hAnsi="Calibri"/>
          <w:color w:val="0000FF"/>
          <w:sz w:val="22"/>
          <w:szCs w:val="22"/>
        </w:rPr>
        <w:t xml:space="preserve">ČSN 73 44 00 Prevence </w:t>
      </w:r>
      <w:proofErr w:type="gramStart"/>
      <w:r w:rsidRPr="00EB5EEE">
        <w:rPr>
          <w:rFonts w:ascii="Calibri" w:hAnsi="Calibri"/>
          <w:color w:val="0000FF"/>
          <w:sz w:val="22"/>
          <w:szCs w:val="22"/>
        </w:rPr>
        <w:t>kriminality - řízení</w:t>
      </w:r>
      <w:proofErr w:type="gramEnd"/>
      <w:r w:rsidRPr="00EB5EEE">
        <w:rPr>
          <w:rFonts w:ascii="Calibri" w:hAnsi="Calibri"/>
          <w:color w:val="0000FF"/>
          <w:sz w:val="22"/>
          <w:szCs w:val="22"/>
        </w:rPr>
        <w:t xml:space="preserve"> bezpečnosti při plánování, realizaci a užívání škol a školských zařízení</w:t>
      </w:r>
    </w:p>
    <w:p w:rsidR="00EB5EEE" w:rsidRDefault="00EB5EEE" w:rsidP="00EB5EEE">
      <w:pPr>
        <w:tabs>
          <w:tab w:val="left" w:pos="3335"/>
        </w:tabs>
        <w:rPr>
          <w:rFonts w:ascii="Calibri" w:hAnsi="Calibri"/>
          <w:b/>
        </w:rPr>
      </w:pPr>
    </w:p>
    <w:p w:rsidR="00EB5EEE" w:rsidRPr="009B1569" w:rsidRDefault="00EB5EEE" w:rsidP="00EB5EEE">
      <w:pPr>
        <w:tabs>
          <w:tab w:val="left" w:pos="3335"/>
        </w:tabs>
        <w:rPr>
          <w:rFonts w:ascii="Calibri" w:hAnsi="Calibri"/>
          <w:b/>
        </w:rPr>
      </w:pPr>
      <w:r w:rsidRPr="009B1569">
        <w:rPr>
          <w:rFonts w:ascii="Calibri" w:hAnsi="Calibri"/>
          <w:b/>
        </w:rPr>
        <w:t>Mechanické zábrany</w:t>
      </w:r>
    </w:p>
    <w:p w:rsidR="00EB5EEE" w:rsidRPr="009B1569" w:rsidRDefault="00EB5EEE" w:rsidP="00EB5EEE">
      <w:pPr>
        <w:pStyle w:val="Odstavecseseznamem"/>
        <w:numPr>
          <w:ilvl w:val="0"/>
          <w:numId w:val="5"/>
        </w:numPr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>ČSN EN 1627 Dveře, okna, lehké obvodové pláště, mříže, okenice.</w:t>
      </w:r>
    </w:p>
    <w:p w:rsidR="00EB5EEE" w:rsidRPr="009B1569" w:rsidRDefault="00EB5EEE" w:rsidP="00EB5EEE">
      <w:pPr>
        <w:tabs>
          <w:tab w:val="left" w:pos="3335"/>
        </w:tabs>
        <w:ind w:left="851" w:hanging="142"/>
        <w:contextualSpacing/>
        <w:rPr>
          <w:rFonts w:ascii="Calibri" w:hAnsi="Calibri"/>
        </w:rPr>
      </w:pPr>
      <w:r w:rsidRPr="009B1569">
        <w:rPr>
          <w:rFonts w:ascii="Calibri" w:hAnsi="Calibri"/>
        </w:rPr>
        <w:t xml:space="preserve"> - Požadavky a klasifikace, odolnost proti násilnému vniknutí (požadavky na odolnost dveří a oken včetně kování, cylindrických vložek a skel).</w:t>
      </w:r>
    </w:p>
    <w:p w:rsidR="00EB5EEE" w:rsidRPr="009B1569" w:rsidRDefault="00EB5EEE" w:rsidP="00EB5EEE">
      <w:pPr>
        <w:tabs>
          <w:tab w:val="left" w:pos="3335"/>
        </w:tabs>
        <w:rPr>
          <w:rFonts w:ascii="Calibri" w:hAnsi="Calibri"/>
        </w:rPr>
      </w:pPr>
    </w:p>
    <w:p w:rsidR="00EB5EEE" w:rsidRPr="009B1569" w:rsidRDefault="00EB5EEE" w:rsidP="00EB5EEE">
      <w:pPr>
        <w:tabs>
          <w:tab w:val="left" w:pos="3335"/>
        </w:tabs>
        <w:rPr>
          <w:rFonts w:ascii="Calibri" w:hAnsi="Calibri"/>
          <w:b/>
        </w:rPr>
      </w:pPr>
      <w:r w:rsidRPr="009B1569">
        <w:rPr>
          <w:rFonts w:ascii="Calibri" w:hAnsi="Calibri"/>
          <w:b/>
        </w:rPr>
        <w:t>Kamerové systémy</w:t>
      </w:r>
    </w:p>
    <w:p w:rsidR="00EB5EEE" w:rsidRPr="009B1569" w:rsidRDefault="00EB5EEE" w:rsidP="00EB5EEE">
      <w:pPr>
        <w:pStyle w:val="Odstavecseseznamem"/>
        <w:numPr>
          <w:ilvl w:val="0"/>
          <w:numId w:val="5"/>
        </w:numPr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 xml:space="preserve">ČSN EN 62676 (řada) Dohledové </w:t>
      </w:r>
      <w:proofErr w:type="spellStart"/>
      <w:r w:rsidRPr="009B1569">
        <w:rPr>
          <w:rFonts w:ascii="Calibri" w:hAnsi="Calibri"/>
          <w:sz w:val="22"/>
          <w:szCs w:val="22"/>
        </w:rPr>
        <w:t>videosystémy</w:t>
      </w:r>
      <w:proofErr w:type="spellEnd"/>
      <w:r w:rsidRPr="009B1569">
        <w:rPr>
          <w:rFonts w:ascii="Calibri" w:hAnsi="Calibri"/>
          <w:sz w:val="22"/>
          <w:szCs w:val="22"/>
        </w:rPr>
        <w:t xml:space="preserve"> pro použití v</w:t>
      </w:r>
      <w:r>
        <w:rPr>
          <w:rFonts w:ascii="Calibri" w:hAnsi="Calibri"/>
          <w:sz w:val="22"/>
          <w:szCs w:val="22"/>
        </w:rPr>
        <w:t> </w:t>
      </w:r>
      <w:r w:rsidRPr="009B1569">
        <w:rPr>
          <w:rFonts w:ascii="Calibri" w:hAnsi="Calibri"/>
          <w:sz w:val="22"/>
          <w:szCs w:val="22"/>
        </w:rPr>
        <w:t>bezpečnostních aplikacích</w:t>
      </w:r>
    </w:p>
    <w:p w:rsidR="00EB5EEE" w:rsidRPr="009B1569" w:rsidRDefault="00EB5EEE" w:rsidP="00EB5EEE">
      <w:pPr>
        <w:pStyle w:val="Odstavecseseznamem"/>
        <w:tabs>
          <w:tab w:val="left" w:pos="3335"/>
        </w:tabs>
        <w:jc w:val="both"/>
        <w:rPr>
          <w:rFonts w:ascii="Calibri" w:hAnsi="Calibri"/>
          <w:sz w:val="22"/>
          <w:szCs w:val="22"/>
        </w:rPr>
      </w:pPr>
    </w:p>
    <w:p w:rsidR="00EB5EEE" w:rsidRPr="009B1569" w:rsidRDefault="00EB5EEE" w:rsidP="00EB5EEE">
      <w:pPr>
        <w:tabs>
          <w:tab w:val="left" w:pos="3335"/>
        </w:tabs>
        <w:rPr>
          <w:rFonts w:ascii="Calibri" w:hAnsi="Calibri"/>
          <w:b/>
        </w:rPr>
      </w:pPr>
      <w:r w:rsidRPr="009B1569">
        <w:rPr>
          <w:rFonts w:ascii="Calibri" w:hAnsi="Calibri"/>
          <w:b/>
        </w:rPr>
        <w:t>Poplachové systémy (alarmy)</w:t>
      </w:r>
    </w:p>
    <w:p w:rsidR="00EB5EEE" w:rsidRPr="009B1569" w:rsidRDefault="00EB5EEE" w:rsidP="00EB5EEE">
      <w:pPr>
        <w:pStyle w:val="Odstavecseseznamem"/>
        <w:numPr>
          <w:ilvl w:val="0"/>
          <w:numId w:val="6"/>
        </w:numPr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>ČSN EN 50131–1 (</w:t>
      </w:r>
      <w:proofErr w:type="spellStart"/>
      <w:r w:rsidRPr="009B1569">
        <w:rPr>
          <w:rFonts w:ascii="Calibri" w:hAnsi="Calibri"/>
          <w:sz w:val="22"/>
          <w:szCs w:val="22"/>
        </w:rPr>
        <w:t>ed</w:t>
      </w:r>
      <w:proofErr w:type="spellEnd"/>
      <w:r w:rsidRPr="009B1569">
        <w:rPr>
          <w:rFonts w:ascii="Calibri" w:hAnsi="Calibri"/>
          <w:sz w:val="22"/>
          <w:szCs w:val="22"/>
        </w:rPr>
        <w:t xml:space="preserve">. 2) Poplachové zabezpečovací a tísňové systémy </w:t>
      </w:r>
    </w:p>
    <w:p w:rsidR="00EB5EEE" w:rsidRPr="009B1569" w:rsidRDefault="00EB5EEE" w:rsidP="00EB5EEE">
      <w:pPr>
        <w:pStyle w:val="Odstavecseseznamem"/>
        <w:numPr>
          <w:ilvl w:val="0"/>
          <w:numId w:val="6"/>
        </w:numPr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>ČSN EN 50132-</w:t>
      </w:r>
      <w:proofErr w:type="gramStart"/>
      <w:r w:rsidRPr="009B1569">
        <w:rPr>
          <w:rFonts w:ascii="Calibri" w:hAnsi="Calibri"/>
          <w:sz w:val="22"/>
          <w:szCs w:val="22"/>
        </w:rPr>
        <w:t>5  Poplachové</w:t>
      </w:r>
      <w:proofErr w:type="gramEnd"/>
      <w:r w:rsidRPr="009B1569">
        <w:rPr>
          <w:rFonts w:ascii="Calibri" w:hAnsi="Calibri"/>
          <w:sz w:val="22"/>
          <w:szCs w:val="22"/>
        </w:rPr>
        <w:t xml:space="preserve"> systémy - CCTV sledovací systémy pro použití v bezpečnostních aplikacích - Část 7: Pokyny pro aplikaci</w:t>
      </w:r>
    </w:p>
    <w:p w:rsidR="00EB5EEE" w:rsidRPr="009B1569" w:rsidRDefault="00EB5EEE" w:rsidP="00EB5EEE">
      <w:pPr>
        <w:pStyle w:val="Odstavecseseznamem"/>
        <w:tabs>
          <w:tab w:val="left" w:pos="3335"/>
        </w:tabs>
        <w:jc w:val="both"/>
        <w:rPr>
          <w:rFonts w:ascii="Calibri" w:hAnsi="Calibri"/>
          <w:sz w:val="22"/>
          <w:szCs w:val="22"/>
        </w:rPr>
      </w:pPr>
    </w:p>
    <w:p w:rsidR="00EB5EEE" w:rsidRPr="009B1569" w:rsidRDefault="00EB5EEE" w:rsidP="00EB5EEE">
      <w:pPr>
        <w:tabs>
          <w:tab w:val="left" w:pos="3335"/>
        </w:tabs>
        <w:rPr>
          <w:rFonts w:ascii="Calibri" w:hAnsi="Calibri"/>
          <w:b/>
        </w:rPr>
      </w:pPr>
      <w:r w:rsidRPr="009B1569">
        <w:rPr>
          <w:rFonts w:ascii="Calibri" w:hAnsi="Calibri"/>
          <w:b/>
        </w:rPr>
        <w:t>Systémy kontroly vstupu</w:t>
      </w:r>
    </w:p>
    <w:p w:rsidR="00EB5EEE" w:rsidRPr="009B1569" w:rsidRDefault="00EB5EEE" w:rsidP="00EB5EEE">
      <w:pPr>
        <w:pStyle w:val="Odstavecseseznamem"/>
        <w:numPr>
          <w:ilvl w:val="0"/>
          <w:numId w:val="7"/>
        </w:numPr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 xml:space="preserve">ČSN EN 60839-11-1 Poplachové a elektronické bezpečnostní </w:t>
      </w:r>
      <w:proofErr w:type="gramStart"/>
      <w:r w:rsidRPr="009B1569">
        <w:rPr>
          <w:rFonts w:ascii="Calibri" w:hAnsi="Calibri"/>
          <w:sz w:val="22"/>
          <w:szCs w:val="22"/>
        </w:rPr>
        <w:t>systémy - Část</w:t>
      </w:r>
      <w:proofErr w:type="gramEnd"/>
      <w:r w:rsidRPr="009B1569">
        <w:rPr>
          <w:rFonts w:ascii="Calibri" w:hAnsi="Calibri"/>
          <w:sz w:val="22"/>
          <w:szCs w:val="22"/>
        </w:rPr>
        <w:t xml:space="preserve"> 11-1: Elektronické systémy kontroly vstupu - Požadavky na systém a komponenty.</w:t>
      </w:r>
    </w:p>
    <w:p w:rsidR="00EB5EEE" w:rsidRPr="009B1569" w:rsidRDefault="00EB5EEE" w:rsidP="00EB5EEE">
      <w:pPr>
        <w:pStyle w:val="Odstavecseseznamem"/>
        <w:numPr>
          <w:ilvl w:val="0"/>
          <w:numId w:val="7"/>
        </w:numPr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>ČSN EN 50133-1 Poplachové systémy – Systémy kontroly přístupu pro použití při bezpečnostních aplikacích.</w:t>
      </w:r>
    </w:p>
    <w:p w:rsidR="00EB5EEE" w:rsidRPr="009B1569" w:rsidRDefault="00EB5EEE" w:rsidP="00EB5EEE">
      <w:pPr>
        <w:tabs>
          <w:tab w:val="left" w:pos="3335"/>
        </w:tabs>
        <w:rPr>
          <w:rFonts w:ascii="Calibri" w:hAnsi="Calibri"/>
        </w:rPr>
      </w:pPr>
    </w:p>
    <w:p w:rsidR="00EB5EEE" w:rsidRPr="00EB5EEE" w:rsidRDefault="00EB5EEE" w:rsidP="00EB5EEE">
      <w:pPr>
        <w:tabs>
          <w:tab w:val="left" w:pos="3335"/>
        </w:tabs>
        <w:rPr>
          <w:rFonts w:ascii="Calibri" w:hAnsi="Calibri"/>
          <w:b/>
          <w:color w:val="0000FF"/>
        </w:rPr>
      </w:pPr>
      <w:r w:rsidRPr="00EB5EEE">
        <w:rPr>
          <w:rFonts w:ascii="Calibri" w:hAnsi="Calibri"/>
          <w:b/>
          <w:color w:val="0000FF"/>
        </w:rPr>
        <w:t xml:space="preserve">Informace k ochraně tzv. měkkých cílů  </w:t>
      </w:r>
    </w:p>
    <w:p w:rsidR="00EB5EEE" w:rsidRPr="00EB5EEE" w:rsidRDefault="00EB5EEE" w:rsidP="00EB5EEE">
      <w:pPr>
        <w:tabs>
          <w:tab w:val="left" w:pos="3335"/>
        </w:tabs>
        <w:rPr>
          <w:rFonts w:ascii="Calibri" w:hAnsi="Calibri"/>
          <w:color w:val="0000FF"/>
        </w:rPr>
      </w:pPr>
      <w:r w:rsidRPr="00EB5EEE">
        <w:rPr>
          <w:rFonts w:ascii="Calibri" w:hAnsi="Calibri"/>
          <w:color w:val="0000FF"/>
        </w:rPr>
        <w:t>Další informace k ochraně tzv. měkkých cílů jsou dostupné na webu Ministerstva vnitra – odboru bezpečnostní politiky a prevence kriminality</w:t>
      </w:r>
    </w:p>
    <w:p w:rsidR="00EB5EEE" w:rsidRPr="00EB5EEE" w:rsidRDefault="00EB5EEE" w:rsidP="00EB5EEE">
      <w:pPr>
        <w:tabs>
          <w:tab w:val="left" w:pos="3335"/>
        </w:tabs>
        <w:rPr>
          <w:rFonts w:ascii="Calibri" w:hAnsi="Calibri"/>
          <w:color w:val="0000FF"/>
        </w:rPr>
      </w:pPr>
      <w:hyperlink r:id="rId5" w:history="1">
        <w:r w:rsidRPr="00EB5EEE">
          <w:rPr>
            <w:rStyle w:val="Hypertextovodkaz"/>
            <w:rFonts w:ascii="Calibri" w:hAnsi="Calibri"/>
          </w:rPr>
          <w:t>http://www.mvcr.cz/clanek/ochrana-mekkych-cilu.aspx</w:t>
        </w:r>
      </w:hyperlink>
      <w:r w:rsidRPr="00EB5EEE">
        <w:rPr>
          <w:rFonts w:ascii="Calibri" w:hAnsi="Calibri"/>
          <w:color w:val="0000FF"/>
        </w:rPr>
        <w:t xml:space="preserve"> </w:t>
      </w:r>
    </w:p>
    <w:p w:rsidR="00EB5EEE" w:rsidRDefault="00EB5EEE" w:rsidP="00EB5EEE">
      <w:pPr>
        <w:rPr>
          <w:rFonts w:ascii="Calibri" w:hAnsi="Calibri"/>
          <w:b/>
        </w:rPr>
      </w:pPr>
    </w:p>
    <w:p w:rsidR="00EB5EEE" w:rsidRPr="009B1569" w:rsidRDefault="00EB5EEE" w:rsidP="00EB5EEE">
      <w:pPr>
        <w:rPr>
          <w:rFonts w:ascii="Calibri" w:hAnsi="Calibri"/>
          <w:b/>
        </w:rPr>
      </w:pPr>
      <w:r w:rsidRPr="009B1569">
        <w:rPr>
          <w:rFonts w:ascii="Calibri" w:hAnsi="Calibri"/>
          <w:b/>
        </w:rPr>
        <w:t>Doporučené kvalifikační požadavky na vrátného</w:t>
      </w:r>
    </w:p>
    <w:p w:rsidR="00EB5EEE" w:rsidRPr="009B1569" w:rsidRDefault="00EB5EEE" w:rsidP="00EB5EEE">
      <w:pPr>
        <w:rPr>
          <w:rFonts w:ascii="Calibri" w:hAnsi="Calibri"/>
        </w:rPr>
      </w:pPr>
      <w:r w:rsidRPr="009B1569">
        <w:rPr>
          <w:rFonts w:ascii="Calibri" w:hAnsi="Calibri"/>
        </w:rPr>
        <w:t>Vrátný by měl být kvalifikován pro bezpečnostní činnosti. Nejblíže je to kvalifikace Strážný (kód: 68-</w:t>
      </w:r>
      <w:proofErr w:type="gramStart"/>
      <w:r w:rsidRPr="009B1569">
        <w:rPr>
          <w:rFonts w:ascii="Calibri" w:hAnsi="Calibri"/>
        </w:rPr>
        <w:t>008-E</w:t>
      </w:r>
      <w:proofErr w:type="gramEnd"/>
      <w:r w:rsidRPr="009B1569">
        <w:rPr>
          <w:rFonts w:ascii="Calibri" w:hAnsi="Calibri"/>
        </w:rPr>
        <w:t>) z národní soustavy kvalifikací.</w:t>
      </w:r>
    </w:p>
    <w:p w:rsidR="00EB5EEE" w:rsidRPr="009B1569" w:rsidRDefault="00EB5EEE" w:rsidP="00EB5EEE">
      <w:pPr>
        <w:rPr>
          <w:rFonts w:ascii="Calibri" w:hAnsi="Calibri"/>
        </w:rPr>
      </w:pPr>
      <w:hyperlink r:id="rId6" w:history="1">
        <w:r w:rsidRPr="009B1569">
          <w:rPr>
            <w:rStyle w:val="Hypertextovodkaz"/>
            <w:rFonts w:ascii="Calibri" w:hAnsi="Calibri"/>
          </w:rPr>
          <w:t>http://www.narodnikvalifikace.cz/kvalifikace-315-Strazny</w:t>
        </w:r>
      </w:hyperlink>
      <w:r w:rsidRPr="009B1569">
        <w:rPr>
          <w:rFonts w:ascii="Calibri" w:hAnsi="Calibri"/>
        </w:rPr>
        <w:t xml:space="preserve"> </w:t>
      </w:r>
    </w:p>
    <w:p w:rsidR="00EB5EEE" w:rsidRPr="009B1569" w:rsidRDefault="00EB5EEE" w:rsidP="00EB5EEE">
      <w:pPr>
        <w:rPr>
          <w:rFonts w:ascii="Calibri" w:hAnsi="Calibri"/>
          <w:b/>
        </w:rPr>
      </w:pPr>
    </w:p>
    <w:p w:rsidR="00EB5EEE" w:rsidRPr="009B1569" w:rsidRDefault="00EB5EEE" w:rsidP="00EB5EEE">
      <w:pPr>
        <w:rPr>
          <w:rFonts w:ascii="Calibri" w:hAnsi="Calibri"/>
          <w:b/>
        </w:rPr>
      </w:pPr>
      <w:r w:rsidRPr="009B1569">
        <w:rPr>
          <w:rFonts w:ascii="Calibri" w:hAnsi="Calibri"/>
          <w:b/>
        </w:rPr>
        <w:t>Ochrana soukromí při nasazení kamerových systémů</w:t>
      </w:r>
    </w:p>
    <w:p w:rsidR="00EB5EEE" w:rsidRPr="009B1569" w:rsidRDefault="00EB5EEE" w:rsidP="00EB5EEE">
      <w:pPr>
        <w:pStyle w:val="Odstavecseseznamem"/>
        <w:numPr>
          <w:ilvl w:val="0"/>
          <w:numId w:val="8"/>
        </w:numPr>
        <w:spacing w:after="200" w:line="276" w:lineRule="auto"/>
        <w:contextualSpacing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>Zákon 101/2000 Sb., o ochraně osobních údajů, ve znění pozdějších předpisů</w:t>
      </w:r>
    </w:p>
    <w:p w:rsidR="00EB5EEE" w:rsidRPr="009B1569" w:rsidRDefault="00EB5EEE" w:rsidP="00EB5EEE">
      <w:pPr>
        <w:pStyle w:val="Odstavecseseznamem"/>
        <w:numPr>
          <w:ilvl w:val="0"/>
          <w:numId w:val="8"/>
        </w:numPr>
        <w:spacing w:line="276" w:lineRule="auto"/>
        <w:ind w:left="782" w:hanging="356"/>
        <w:jc w:val="both"/>
        <w:rPr>
          <w:rFonts w:ascii="Calibri" w:hAnsi="Calibri"/>
          <w:sz w:val="22"/>
          <w:szCs w:val="22"/>
        </w:rPr>
      </w:pPr>
      <w:r w:rsidRPr="009B1569">
        <w:rPr>
          <w:rFonts w:ascii="Calibri" w:hAnsi="Calibri"/>
          <w:sz w:val="22"/>
          <w:szCs w:val="22"/>
        </w:rPr>
        <w:t xml:space="preserve">Vyjádření a doporučení Úřadu pro ochranu osobních údajů k možnosti instalovat kamerový systém v prostorách školy ze dne 12. března 2007 </w:t>
      </w:r>
    </w:p>
    <w:p w:rsidR="00EB5EEE" w:rsidRPr="009B1569" w:rsidRDefault="00EB5EEE" w:rsidP="00EB5EEE">
      <w:pPr>
        <w:spacing w:after="200" w:line="276" w:lineRule="auto"/>
        <w:ind w:left="851"/>
        <w:contextualSpacing/>
        <w:rPr>
          <w:rFonts w:ascii="Calibri" w:hAnsi="Calibri"/>
        </w:rPr>
      </w:pPr>
      <w:hyperlink r:id="rId7" w:history="1">
        <w:r w:rsidRPr="009B1569">
          <w:rPr>
            <w:rStyle w:val="Hypertextovodkaz"/>
            <w:rFonts w:ascii="Calibri" w:hAnsi="Calibri"/>
          </w:rPr>
          <w:t>https://www.uoou.cz/files/vyjadreni_a_doporuceni_uoou.pdf</w:t>
        </w:r>
      </w:hyperlink>
    </w:p>
    <w:p w:rsidR="00C271C3" w:rsidRPr="00C271C3" w:rsidRDefault="00C271C3" w:rsidP="00C271C3">
      <w:pPr>
        <w:pStyle w:val="Bezmezer"/>
      </w:pPr>
    </w:p>
    <w:sectPr w:rsidR="00C271C3" w:rsidRPr="00C271C3" w:rsidSect="00EB5E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447F"/>
    <w:multiLevelType w:val="hybridMultilevel"/>
    <w:tmpl w:val="1B9EEF4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76280"/>
    <w:multiLevelType w:val="hybridMultilevel"/>
    <w:tmpl w:val="2A9ABE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47B02"/>
    <w:multiLevelType w:val="hybridMultilevel"/>
    <w:tmpl w:val="63A2A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00B05"/>
    <w:multiLevelType w:val="hybridMultilevel"/>
    <w:tmpl w:val="BF3C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E6812"/>
    <w:multiLevelType w:val="hybridMultilevel"/>
    <w:tmpl w:val="736EB6F6"/>
    <w:lvl w:ilvl="0" w:tplc="BE7C3A3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0139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7FB30E1"/>
    <w:multiLevelType w:val="hybridMultilevel"/>
    <w:tmpl w:val="B770CB0E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7BC15F44"/>
    <w:multiLevelType w:val="hybridMultilevel"/>
    <w:tmpl w:val="F1D0688A"/>
    <w:lvl w:ilvl="0" w:tplc="BE7C3A3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C3950"/>
    <w:multiLevelType w:val="hybridMultilevel"/>
    <w:tmpl w:val="0764E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B9"/>
    <w:rsid w:val="00640DB9"/>
    <w:rsid w:val="00C271C3"/>
    <w:rsid w:val="00EA7ECF"/>
    <w:rsid w:val="00EB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4640"/>
  <w15:chartTrackingRefBased/>
  <w15:docId w15:val="{56466BB1-0F99-451E-8D38-8D06A7EC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40D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40DB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4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271C3"/>
  </w:style>
  <w:style w:type="character" w:styleId="Hypertextovodkaz">
    <w:name w:val="Hyperlink"/>
    <w:basedOn w:val="Standardnpsmoodstavce"/>
    <w:uiPriority w:val="99"/>
    <w:semiHidden/>
    <w:unhideWhenUsed/>
    <w:rsid w:val="00C271C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C271C3"/>
    <w:rPr>
      <w:b/>
      <w:bCs/>
    </w:rPr>
  </w:style>
  <w:style w:type="character" w:customStyle="1" w:styleId="dwitem">
    <w:name w:val="dw_item"/>
    <w:basedOn w:val="Standardnpsmoodstavce"/>
    <w:rsid w:val="00C271C3"/>
  </w:style>
  <w:style w:type="paragraph" w:styleId="Bezmezer">
    <w:name w:val="No Spacing"/>
    <w:link w:val="BezmezerChar"/>
    <w:uiPriority w:val="1"/>
    <w:qFormat/>
    <w:rsid w:val="00C271C3"/>
    <w:pPr>
      <w:spacing w:after="0" w:line="240" w:lineRule="auto"/>
    </w:pPr>
  </w:style>
  <w:style w:type="paragraph" w:customStyle="1" w:styleId="Styl1">
    <w:name w:val="Styl1"/>
    <w:basedOn w:val="Bezmezer"/>
    <w:link w:val="Styl1Char"/>
    <w:qFormat/>
    <w:rsid w:val="00C271C3"/>
    <w:rPr>
      <w:rFonts w:ascii="Cambria" w:hAnsi="Cambria"/>
      <w:b/>
      <w:color w:val="002060"/>
      <w:sz w:val="32"/>
      <w:szCs w:val="32"/>
      <w:lang w:eastAsia="cs-CZ"/>
    </w:rPr>
  </w:style>
  <w:style w:type="table" w:styleId="Mkatabulky">
    <w:name w:val="Table Grid"/>
    <w:basedOn w:val="Normlntabulka"/>
    <w:uiPriority w:val="39"/>
    <w:rsid w:val="00C27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mezerChar">
    <w:name w:val="Bez mezer Char"/>
    <w:basedOn w:val="Standardnpsmoodstavce"/>
    <w:link w:val="Bezmezer"/>
    <w:uiPriority w:val="1"/>
    <w:rsid w:val="00C271C3"/>
  </w:style>
  <w:style w:type="character" w:customStyle="1" w:styleId="Styl1Char">
    <w:name w:val="Styl1 Char"/>
    <w:basedOn w:val="BezmezerChar"/>
    <w:link w:val="Styl1"/>
    <w:rsid w:val="00C271C3"/>
    <w:rPr>
      <w:rFonts w:ascii="Cambria" w:hAnsi="Cambria"/>
      <w:b/>
      <w:color w:val="002060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271C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4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464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6214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15284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104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oou.cz/files/vyjadreni_a_doporuceni_uoo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rodnikvalifikace.cz/kvalifikace-315-Strazny" TargetMode="External"/><Relationship Id="rId5" Type="http://schemas.openxmlformats.org/officeDocument/2006/relationships/hyperlink" Target="http://www.mvcr.cz/clanek/ochrana-mekkych-cilu.asp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1590</Words>
  <Characters>9382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2017-05-01T13:05:00Z</dcterms:created>
  <dcterms:modified xsi:type="dcterms:W3CDTF">2017-05-01T13:39:00Z</dcterms:modified>
</cp:coreProperties>
</file>