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A3E82" w14:textId="5B7CD490" w:rsidR="005351E5" w:rsidRDefault="005351E5" w:rsidP="005351E5">
      <w:pPr>
        <w:spacing w:after="120" w:line="240" w:lineRule="auto"/>
        <w:jc w:val="right"/>
        <w:outlineLvl w:val="0"/>
        <w:rPr>
          <w:rFonts w:ascii="Times New Roman" w:eastAsia="Times New Roman" w:hAnsi="Times New Roman" w:cs="Times New Roman"/>
          <w:b/>
          <w:caps/>
          <w:sz w:val="24"/>
          <w:szCs w:val="24"/>
          <w:lang w:eastAsia="cs-CZ"/>
        </w:rPr>
      </w:pPr>
      <w:bookmarkStart w:id="0" w:name="_GoBack"/>
      <w:bookmarkEnd w:id="0"/>
    </w:p>
    <w:p w14:paraId="7A0F36DD" w14:textId="77777777" w:rsidR="005351E5" w:rsidRDefault="005351E5" w:rsidP="00B34596">
      <w:pPr>
        <w:pStyle w:val="Nadpis1"/>
        <w:spacing w:before="0"/>
        <w:jc w:val="center"/>
        <w:rPr>
          <w:color w:val="auto"/>
          <w:sz w:val="34"/>
          <w:szCs w:val="34"/>
        </w:rPr>
      </w:pPr>
    </w:p>
    <w:p w14:paraId="40DDB3BD" w14:textId="53F85CDC" w:rsidR="003C3C71" w:rsidRPr="009A06C9" w:rsidRDefault="00DE4842" w:rsidP="00B34596">
      <w:pPr>
        <w:pStyle w:val="Nadpis1"/>
        <w:spacing w:before="0"/>
        <w:jc w:val="center"/>
        <w:rPr>
          <w:color w:val="auto"/>
          <w:sz w:val="34"/>
          <w:szCs w:val="34"/>
        </w:rPr>
      </w:pPr>
      <w:r w:rsidRPr="009A06C9">
        <w:rPr>
          <w:color w:val="auto"/>
          <w:sz w:val="34"/>
          <w:szCs w:val="34"/>
        </w:rPr>
        <w:t>Rámec kvalifikací vysokoškolského vzdělávání České republiky</w:t>
      </w:r>
    </w:p>
    <w:p w14:paraId="04E08716" w14:textId="4B7D8F50" w:rsidR="00C60D5C" w:rsidRDefault="001E5B9B" w:rsidP="001E499D">
      <w:pPr>
        <w:pStyle w:val="Nadpis2"/>
        <w:ind w:left="720"/>
        <w:jc w:val="center"/>
        <w:rPr>
          <w:color w:val="000000" w:themeColor="text1"/>
          <w:sz w:val="28"/>
          <w:szCs w:val="28"/>
        </w:rPr>
      </w:pPr>
      <w:r w:rsidRPr="009A06C9">
        <w:rPr>
          <w:color w:val="000000" w:themeColor="text1"/>
          <w:sz w:val="28"/>
          <w:szCs w:val="28"/>
        </w:rPr>
        <w:t>Popis kvalifikací vysokoškolského vzdělávání ČR</w:t>
      </w:r>
    </w:p>
    <w:p w14:paraId="2AEFC568" w14:textId="77777777" w:rsidR="00D40176" w:rsidRPr="00D40176" w:rsidRDefault="00D40176" w:rsidP="00D40176"/>
    <w:p w14:paraId="11DA94C1" w14:textId="77777777" w:rsidR="005351E5" w:rsidRPr="001E499D" w:rsidRDefault="005351E5" w:rsidP="001E499D"/>
    <w:tbl>
      <w:tblPr>
        <w:tblpPr w:leftFromText="141" w:rightFromText="141" w:vertAnchor="text" w:tblpY="1"/>
        <w:tblOverlap w:val="never"/>
        <w:tblW w:w="14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990"/>
        <w:gridCol w:w="3799"/>
        <w:gridCol w:w="3799"/>
        <w:gridCol w:w="3799"/>
      </w:tblGrid>
      <w:tr w:rsidR="00A64B59" w:rsidRPr="001F45D3" w14:paraId="7252BD11" w14:textId="77777777" w:rsidTr="00C60D5C">
        <w:trPr>
          <w:trHeight w:val="841"/>
        </w:trPr>
        <w:tc>
          <w:tcPr>
            <w:tcW w:w="2828" w:type="dxa"/>
            <w:gridSpan w:val="2"/>
            <w:shd w:val="clear" w:color="auto" w:fill="F2F2F2" w:themeFill="background1" w:themeFillShade="F2"/>
            <w:vAlign w:val="center"/>
          </w:tcPr>
          <w:p w14:paraId="3C34B9ED" w14:textId="77777777" w:rsidR="00A64B59" w:rsidRPr="00C60D5C" w:rsidRDefault="007A51B5" w:rsidP="00401709">
            <w:pPr>
              <w:spacing w:before="120"/>
              <w:jc w:val="center"/>
              <w:rPr>
                <w:rFonts w:ascii="Times New Roman" w:hAnsi="Times New Roman" w:cs="Times New Roman"/>
                <w:b/>
                <w:sz w:val="24"/>
                <w:szCs w:val="24"/>
              </w:rPr>
            </w:pPr>
            <w:r w:rsidRPr="00C60D5C">
              <w:rPr>
                <w:rFonts w:ascii="Times New Roman" w:hAnsi="Times New Roman" w:cs="Times New Roman"/>
              </w:rPr>
              <w:br w:type="column"/>
            </w:r>
            <w:r w:rsidR="0053727C" w:rsidRPr="00C60D5C">
              <w:rPr>
                <w:rFonts w:ascii="Times New Roman" w:hAnsi="Times New Roman" w:cs="Times New Roman"/>
                <w:b/>
                <w:sz w:val="24"/>
                <w:szCs w:val="24"/>
              </w:rPr>
              <w:t>O</w:t>
            </w:r>
            <w:r w:rsidR="00A64B59" w:rsidRPr="00C60D5C">
              <w:rPr>
                <w:rFonts w:ascii="Times New Roman" w:hAnsi="Times New Roman" w:cs="Times New Roman"/>
                <w:b/>
                <w:sz w:val="24"/>
                <w:szCs w:val="24"/>
              </w:rPr>
              <w:t>značení</w:t>
            </w:r>
            <w:r w:rsidR="00401709" w:rsidRPr="00C60D5C">
              <w:rPr>
                <w:rFonts w:ascii="Times New Roman" w:hAnsi="Times New Roman" w:cs="Times New Roman"/>
                <w:b/>
                <w:sz w:val="24"/>
                <w:szCs w:val="24"/>
              </w:rPr>
              <w:t xml:space="preserve"> </w:t>
            </w:r>
            <w:r w:rsidR="00444420" w:rsidRPr="00C60D5C">
              <w:rPr>
                <w:rFonts w:ascii="Times New Roman" w:hAnsi="Times New Roman" w:cs="Times New Roman"/>
                <w:b/>
                <w:sz w:val="24"/>
                <w:szCs w:val="24"/>
              </w:rPr>
              <w:t xml:space="preserve">úrovně </w:t>
            </w:r>
            <w:r w:rsidR="00401709" w:rsidRPr="00C60D5C">
              <w:rPr>
                <w:rFonts w:ascii="Times New Roman" w:hAnsi="Times New Roman" w:cs="Times New Roman"/>
                <w:b/>
                <w:sz w:val="24"/>
                <w:szCs w:val="24"/>
              </w:rPr>
              <w:t>kvalifikace</w:t>
            </w:r>
          </w:p>
        </w:tc>
        <w:tc>
          <w:tcPr>
            <w:tcW w:w="3799" w:type="dxa"/>
            <w:shd w:val="clear" w:color="auto" w:fill="D9D9D9" w:themeFill="background1" w:themeFillShade="D9"/>
            <w:vAlign w:val="center"/>
          </w:tcPr>
          <w:p w14:paraId="4DCD823A" w14:textId="77777777" w:rsidR="00A64B59" w:rsidRPr="00C60D5C" w:rsidRDefault="0053727C" w:rsidP="00BF3ABD">
            <w:pPr>
              <w:spacing w:before="120"/>
              <w:jc w:val="center"/>
              <w:rPr>
                <w:rFonts w:ascii="Times New Roman" w:hAnsi="Times New Roman" w:cs="Times New Roman"/>
                <w:b/>
                <w:sz w:val="28"/>
                <w:szCs w:val="24"/>
              </w:rPr>
            </w:pPr>
            <w:r w:rsidRPr="00C60D5C">
              <w:rPr>
                <w:rFonts w:ascii="Times New Roman" w:hAnsi="Times New Roman" w:cs="Times New Roman"/>
                <w:b/>
                <w:sz w:val="28"/>
                <w:szCs w:val="24"/>
              </w:rPr>
              <w:t>I</w:t>
            </w:r>
            <w:r w:rsidR="00444F52" w:rsidRPr="00C60D5C">
              <w:rPr>
                <w:rFonts w:ascii="Times New Roman" w:hAnsi="Times New Roman" w:cs="Times New Roman"/>
                <w:b/>
                <w:sz w:val="28"/>
                <w:szCs w:val="24"/>
              </w:rPr>
              <w:t>.</w:t>
            </w:r>
          </w:p>
        </w:tc>
        <w:tc>
          <w:tcPr>
            <w:tcW w:w="3799" w:type="dxa"/>
            <w:shd w:val="clear" w:color="auto" w:fill="BFBFBF" w:themeFill="background1" w:themeFillShade="BF"/>
            <w:vAlign w:val="center"/>
          </w:tcPr>
          <w:p w14:paraId="6009CFB3" w14:textId="77777777" w:rsidR="00A64B59" w:rsidRPr="00C60D5C" w:rsidRDefault="0053727C" w:rsidP="00BF3ABD">
            <w:pPr>
              <w:spacing w:before="120"/>
              <w:jc w:val="center"/>
              <w:rPr>
                <w:rFonts w:ascii="Times New Roman" w:hAnsi="Times New Roman" w:cs="Times New Roman"/>
                <w:b/>
                <w:sz w:val="28"/>
                <w:szCs w:val="24"/>
              </w:rPr>
            </w:pPr>
            <w:r w:rsidRPr="00C60D5C">
              <w:rPr>
                <w:rFonts w:ascii="Times New Roman" w:hAnsi="Times New Roman" w:cs="Times New Roman"/>
                <w:b/>
                <w:sz w:val="28"/>
                <w:szCs w:val="24"/>
              </w:rPr>
              <w:t>II</w:t>
            </w:r>
            <w:r w:rsidR="00444F52" w:rsidRPr="00C60D5C">
              <w:rPr>
                <w:rFonts w:ascii="Times New Roman" w:hAnsi="Times New Roman" w:cs="Times New Roman"/>
                <w:b/>
                <w:sz w:val="28"/>
                <w:szCs w:val="24"/>
              </w:rPr>
              <w:t>.</w:t>
            </w:r>
          </w:p>
        </w:tc>
        <w:tc>
          <w:tcPr>
            <w:tcW w:w="3799" w:type="dxa"/>
            <w:shd w:val="clear" w:color="auto" w:fill="A6A6A6" w:themeFill="background1" w:themeFillShade="A6"/>
            <w:vAlign w:val="center"/>
          </w:tcPr>
          <w:p w14:paraId="7371DDB1" w14:textId="77777777" w:rsidR="00A64B59" w:rsidRPr="00C60D5C" w:rsidRDefault="0053727C" w:rsidP="00BF3ABD">
            <w:pPr>
              <w:spacing w:before="120"/>
              <w:jc w:val="center"/>
              <w:rPr>
                <w:rFonts w:ascii="Times New Roman" w:hAnsi="Times New Roman" w:cs="Times New Roman"/>
                <w:b/>
                <w:sz w:val="28"/>
                <w:szCs w:val="24"/>
              </w:rPr>
            </w:pPr>
            <w:r w:rsidRPr="00C60D5C">
              <w:rPr>
                <w:rFonts w:ascii="Times New Roman" w:hAnsi="Times New Roman" w:cs="Times New Roman"/>
                <w:b/>
                <w:sz w:val="28"/>
                <w:szCs w:val="24"/>
              </w:rPr>
              <w:t>III</w:t>
            </w:r>
            <w:r w:rsidR="00444F52" w:rsidRPr="00C60D5C">
              <w:rPr>
                <w:rFonts w:ascii="Times New Roman" w:hAnsi="Times New Roman" w:cs="Times New Roman"/>
                <w:b/>
                <w:sz w:val="28"/>
                <w:szCs w:val="24"/>
              </w:rPr>
              <w:t>.</w:t>
            </w:r>
          </w:p>
        </w:tc>
      </w:tr>
      <w:tr w:rsidR="001F45D3" w:rsidRPr="001F45D3" w14:paraId="350611E9" w14:textId="77777777" w:rsidTr="00C60D5C">
        <w:trPr>
          <w:trHeight w:val="699"/>
        </w:trPr>
        <w:tc>
          <w:tcPr>
            <w:tcW w:w="2828" w:type="dxa"/>
            <w:gridSpan w:val="2"/>
            <w:shd w:val="clear" w:color="auto" w:fill="F2F2F2" w:themeFill="background1" w:themeFillShade="F2"/>
            <w:vAlign w:val="center"/>
          </w:tcPr>
          <w:p w14:paraId="6B2C396C" w14:textId="77777777" w:rsidR="001F45D3" w:rsidRPr="00C60D5C" w:rsidRDefault="001F45D3" w:rsidP="00401709">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Typ studijního programu</w:t>
            </w:r>
          </w:p>
        </w:tc>
        <w:tc>
          <w:tcPr>
            <w:tcW w:w="3799" w:type="dxa"/>
            <w:shd w:val="clear" w:color="auto" w:fill="D9D9D9" w:themeFill="background1" w:themeFillShade="D9"/>
            <w:vAlign w:val="center"/>
          </w:tcPr>
          <w:p w14:paraId="1AA3D501" w14:textId="77777777" w:rsidR="001F45D3" w:rsidRPr="00C60D5C" w:rsidRDefault="001F45D3"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Bakalářský studijní program</w:t>
            </w:r>
          </w:p>
        </w:tc>
        <w:tc>
          <w:tcPr>
            <w:tcW w:w="3799" w:type="dxa"/>
            <w:shd w:val="clear" w:color="auto" w:fill="BFBFBF" w:themeFill="background1" w:themeFillShade="BF"/>
            <w:vAlign w:val="center"/>
          </w:tcPr>
          <w:p w14:paraId="1A2F4914" w14:textId="77777777" w:rsidR="001F45D3" w:rsidRPr="00C60D5C" w:rsidRDefault="001F45D3" w:rsidP="00BF3ABD">
            <w:pPr>
              <w:spacing w:before="120"/>
              <w:jc w:val="center"/>
              <w:rPr>
                <w:rFonts w:ascii="Times New Roman" w:hAnsi="Times New Roman" w:cs="Times New Roman"/>
                <w:b/>
                <w:i/>
                <w:sz w:val="24"/>
                <w:szCs w:val="24"/>
              </w:rPr>
            </w:pPr>
            <w:r w:rsidRPr="00C60D5C">
              <w:rPr>
                <w:rFonts w:ascii="Times New Roman" w:hAnsi="Times New Roman" w:cs="Times New Roman"/>
                <w:b/>
                <w:sz w:val="24"/>
                <w:szCs w:val="24"/>
              </w:rPr>
              <w:t>Magisterský studijní program</w:t>
            </w:r>
          </w:p>
        </w:tc>
        <w:tc>
          <w:tcPr>
            <w:tcW w:w="3799" w:type="dxa"/>
            <w:shd w:val="clear" w:color="auto" w:fill="A6A6A6" w:themeFill="background1" w:themeFillShade="A6"/>
            <w:vAlign w:val="center"/>
          </w:tcPr>
          <w:p w14:paraId="23134335" w14:textId="77777777" w:rsidR="001F45D3" w:rsidRPr="00C60D5C" w:rsidRDefault="001F45D3"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Doktorský studijní program</w:t>
            </w:r>
          </w:p>
        </w:tc>
      </w:tr>
      <w:tr w:rsidR="00A64B59" w:rsidRPr="001F45D3" w14:paraId="5215BB3A" w14:textId="77777777" w:rsidTr="00C60D5C">
        <w:trPr>
          <w:trHeight w:val="985"/>
        </w:trPr>
        <w:tc>
          <w:tcPr>
            <w:tcW w:w="1838" w:type="dxa"/>
            <w:vMerge w:val="restart"/>
            <w:shd w:val="clear" w:color="auto" w:fill="F2F2F2" w:themeFill="background1" w:themeFillShade="F2"/>
            <w:vAlign w:val="center"/>
          </w:tcPr>
          <w:p w14:paraId="44E9E053" w14:textId="77777777" w:rsidR="00A64B59" w:rsidRPr="00C60D5C" w:rsidRDefault="00A64B59" w:rsidP="00DE4842">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 xml:space="preserve">Navrhovaný vztah k zastřešujícím </w:t>
            </w:r>
            <w:r w:rsidR="00DE4842" w:rsidRPr="00C60D5C">
              <w:rPr>
                <w:rFonts w:ascii="Times New Roman" w:hAnsi="Times New Roman" w:cs="Times New Roman"/>
                <w:b/>
                <w:sz w:val="24"/>
                <w:szCs w:val="24"/>
              </w:rPr>
              <w:t>rámcům kvalifikací</w:t>
            </w:r>
          </w:p>
        </w:tc>
        <w:tc>
          <w:tcPr>
            <w:tcW w:w="990" w:type="dxa"/>
            <w:shd w:val="clear" w:color="auto" w:fill="F2F2F2" w:themeFill="background1" w:themeFillShade="F2"/>
            <w:vAlign w:val="center"/>
          </w:tcPr>
          <w:p w14:paraId="5B4FB155" w14:textId="77777777" w:rsidR="00A64B59" w:rsidRPr="00C60D5C" w:rsidRDefault="00A64B59" w:rsidP="00401709">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EQF</w:t>
            </w:r>
          </w:p>
        </w:tc>
        <w:tc>
          <w:tcPr>
            <w:tcW w:w="3799" w:type="dxa"/>
            <w:shd w:val="clear" w:color="auto" w:fill="D9D9D9" w:themeFill="background1" w:themeFillShade="D9"/>
            <w:vAlign w:val="center"/>
          </w:tcPr>
          <w:p w14:paraId="1B52FA46"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6</w:t>
            </w:r>
          </w:p>
        </w:tc>
        <w:tc>
          <w:tcPr>
            <w:tcW w:w="3799" w:type="dxa"/>
            <w:shd w:val="clear" w:color="auto" w:fill="BFBFBF" w:themeFill="background1" w:themeFillShade="BF"/>
            <w:vAlign w:val="center"/>
          </w:tcPr>
          <w:p w14:paraId="59581496"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7</w:t>
            </w:r>
          </w:p>
        </w:tc>
        <w:tc>
          <w:tcPr>
            <w:tcW w:w="3799" w:type="dxa"/>
            <w:shd w:val="clear" w:color="auto" w:fill="A6A6A6" w:themeFill="background1" w:themeFillShade="A6"/>
            <w:vAlign w:val="center"/>
          </w:tcPr>
          <w:p w14:paraId="231AB16F"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8</w:t>
            </w:r>
          </w:p>
        </w:tc>
      </w:tr>
      <w:tr w:rsidR="00A64B59" w:rsidRPr="001F45D3" w14:paraId="7124309E" w14:textId="77777777" w:rsidTr="00C60D5C">
        <w:trPr>
          <w:trHeight w:val="830"/>
        </w:trPr>
        <w:tc>
          <w:tcPr>
            <w:tcW w:w="1838" w:type="dxa"/>
            <w:vMerge/>
            <w:shd w:val="clear" w:color="auto" w:fill="F2F2F2" w:themeFill="background1" w:themeFillShade="F2"/>
            <w:vAlign w:val="center"/>
          </w:tcPr>
          <w:p w14:paraId="26BC79FC" w14:textId="77777777" w:rsidR="00A64B59" w:rsidRPr="00C60D5C" w:rsidRDefault="00A64B59" w:rsidP="00401709">
            <w:pPr>
              <w:spacing w:before="120"/>
              <w:jc w:val="center"/>
              <w:rPr>
                <w:rFonts w:ascii="Times New Roman" w:hAnsi="Times New Roman" w:cs="Times New Roman"/>
                <w:b/>
                <w:sz w:val="24"/>
                <w:szCs w:val="24"/>
              </w:rPr>
            </w:pPr>
          </w:p>
        </w:tc>
        <w:tc>
          <w:tcPr>
            <w:tcW w:w="990" w:type="dxa"/>
            <w:shd w:val="clear" w:color="auto" w:fill="F2F2F2" w:themeFill="background1" w:themeFillShade="F2"/>
            <w:vAlign w:val="center"/>
          </w:tcPr>
          <w:p w14:paraId="27A09130" w14:textId="77777777" w:rsidR="00A64B59" w:rsidRPr="00C60D5C" w:rsidRDefault="00A64B59" w:rsidP="00401709">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QF-EHEA</w:t>
            </w:r>
          </w:p>
        </w:tc>
        <w:tc>
          <w:tcPr>
            <w:tcW w:w="3799" w:type="dxa"/>
            <w:shd w:val="clear" w:color="auto" w:fill="D9D9D9" w:themeFill="background1" w:themeFillShade="D9"/>
            <w:vAlign w:val="center"/>
          </w:tcPr>
          <w:p w14:paraId="55EEB3B4"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první cyklus</w:t>
            </w:r>
          </w:p>
        </w:tc>
        <w:tc>
          <w:tcPr>
            <w:tcW w:w="3799" w:type="dxa"/>
            <w:shd w:val="clear" w:color="auto" w:fill="BFBFBF" w:themeFill="background1" w:themeFillShade="BF"/>
            <w:vAlign w:val="center"/>
          </w:tcPr>
          <w:p w14:paraId="4170F55B"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druhý cyklus</w:t>
            </w:r>
          </w:p>
        </w:tc>
        <w:tc>
          <w:tcPr>
            <w:tcW w:w="3799" w:type="dxa"/>
            <w:shd w:val="clear" w:color="auto" w:fill="A6A6A6" w:themeFill="background1" w:themeFillShade="A6"/>
            <w:vAlign w:val="center"/>
          </w:tcPr>
          <w:p w14:paraId="25816C4B" w14:textId="77777777" w:rsidR="00A64B59" w:rsidRPr="00C60D5C" w:rsidRDefault="00CF30BC"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třetí cyklus</w:t>
            </w:r>
          </w:p>
        </w:tc>
      </w:tr>
      <w:tr w:rsidR="001F45D3" w:rsidRPr="001F45D3" w14:paraId="52478415" w14:textId="77777777" w:rsidTr="00C60D5C">
        <w:trPr>
          <w:trHeight w:val="1072"/>
        </w:trPr>
        <w:tc>
          <w:tcPr>
            <w:tcW w:w="2828" w:type="dxa"/>
            <w:gridSpan w:val="2"/>
            <w:shd w:val="clear" w:color="auto" w:fill="F2F2F2" w:themeFill="background1" w:themeFillShade="F2"/>
            <w:vAlign w:val="center"/>
          </w:tcPr>
          <w:p w14:paraId="146A0028" w14:textId="77777777" w:rsidR="00401709" w:rsidRPr="00C60D5C" w:rsidRDefault="001F45D3" w:rsidP="00401709">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Kreditová hodnota (ECTS)</w:t>
            </w:r>
          </w:p>
        </w:tc>
        <w:tc>
          <w:tcPr>
            <w:tcW w:w="3799" w:type="dxa"/>
            <w:shd w:val="clear" w:color="auto" w:fill="D9D9D9" w:themeFill="background1" w:themeFillShade="D9"/>
            <w:vAlign w:val="center"/>
          </w:tcPr>
          <w:p w14:paraId="4194C198" w14:textId="77777777" w:rsidR="001F45D3" w:rsidRPr="00C60D5C" w:rsidRDefault="001F45D3"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180–240</w:t>
            </w:r>
          </w:p>
        </w:tc>
        <w:tc>
          <w:tcPr>
            <w:tcW w:w="3799" w:type="dxa"/>
            <w:shd w:val="clear" w:color="auto" w:fill="BFBFBF" w:themeFill="background1" w:themeFillShade="BF"/>
            <w:vAlign w:val="center"/>
          </w:tcPr>
          <w:p w14:paraId="02D3AD81" w14:textId="77777777" w:rsidR="001F45D3" w:rsidRPr="00C60D5C" w:rsidRDefault="001F45D3" w:rsidP="00092EBC">
            <w:pPr>
              <w:spacing w:before="120" w:after="120"/>
              <w:jc w:val="center"/>
              <w:rPr>
                <w:rFonts w:ascii="Times New Roman" w:hAnsi="Times New Roman" w:cs="Times New Roman"/>
                <w:b/>
                <w:sz w:val="24"/>
                <w:szCs w:val="24"/>
              </w:rPr>
            </w:pPr>
            <w:r w:rsidRPr="00C60D5C">
              <w:rPr>
                <w:rFonts w:ascii="Times New Roman" w:hAnsi="Times New Roman" w:cs="Times New Roman"/>
                <w:b/>
                <w:sz w:val="24"/>
                <w:szCs w:val="24"/>
              </w:rPr>
              <w:t>60–180</w:t>
            </w:r>
          </w:p>
          <w:p w14:paraId="0DB3D3B5" w14:textId="7181F167" w:rsidR="001F45D3" w:rsidRPr="00C60D5C" w:rsidRDefault="001F45D3" w:rsidP="002C193E">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(300–360)</w:t>
            </w:r>
          </w:p>
        </w:tc>
        <w:tc>
          <w:tcPr>
            <w:tcW w:w="3799" w:type="dxa"/>
            <w:shd w:val="clear" w:color="auto" w:fill="A6A6A6" w:themeFill="background1" w:themeFillShade="A6"/>
            <w:vAlign w:val="center"/>
          </w:tcPr>
          <w:p w14:paraId="46CD6FD1" w14:textId="77777777" w:rsidR="001F45D3" w:rsidRPr="00C60D5C" w:rsidRDefault="001F45D3" w:rsidP="00BF3ABD">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180–240</w:t>
            </w:r>
          </w:p>
        </w:tc>
      </w:tr>
    </w:tbl>
    <w:p w14:paraId="30AE63AF" w14:textId="77777777" w:rsidR="005351E5" w:rsidRDefault="005351E5">
      <w:r>
        <w:br w:type="page"/>
      </w:r>
    </w:p>
    <w:tbl>
      <w:tblPr>
        <w:tblpPr w:leftFromText="141" w:rightFromText="141" w:vertAnchor="text" w:tblpY="1"/>
        <w:tblOverlap w:val="never"/>
        <w:tblW w:w="14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8"/>
        <w:gridCol w:w="3799"/>
        <w:gridCol w:w="3799"/>
        <w:gridCol w:w="3799"/>
      </w:tblGrid>
      <w:tr w:rsidR="00401709" w:rsidRPr="001F45D3" w14:paraId="625213D3" w14:textId="77777777" w:rsidTr="005351E5">
        <w:trPr>
          <w:trHeight w:val="581"/>
        </w:trPr>
        <w:tc>
          <w:tcPr>
            <w:tcW w:w="2828" w:type="dxa"/>
            <w:vMerge w:val="restart"/>
            <w:shd w:val="clear" w:color="auto" w:fill="F2F2F2" w:themeFill="background1" w:themeFillShade="F2"/>
            <w:vAlign w:val="center"/>
          </w:tcPr>
          <w:p w14:paraId="1CA30DB2" w14:textId="06597371" w:rsidR="00401709" w:rsidRPr="00C60D5C" w:rsidRDefault="00401709" w:rsidP="005351E5">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lastRenderedPageBreak/>
              <w:t>Odborné znalosti</w:t>
            </w:r>
          </w:p>
        </w:tc>
        <w:tc>
          <w:tcPr>
            <w:tcW w:w="11397" w:type="dxa"/>
            <w:gridSpan w:val="3"/>
            <w:shd w:val="clear" w:color="auto" w:fill="F2F2F2" w:themeFill="background1" w:themeFillShade="F2"/>
            <w:vAlign w:val="center"/>
          </w:tcPr>
          <w:p w14:paraId="36512701" w14:textId="77777777" w:rsidR="00401709" w:rsidRPr="00C60D5C" w:rsidRDefault="00401709" w:rsidP="00BF3ABD">
            <w:pPr>
              <w:spacing w:before="120"/>
              <w:jc w:val="center"/>
              <w:rPr>
                <w:rFonts w:ascii="Times New Roman" w:hAnsi="Times New Roman" w:cs="Times New Roman"/>
                <w:sz w:val="24"/>
                <w:szCs w:val="24"/>
              </w:rPr>
            </w:pPr>
            <w:r w:rsidRPr="00C60D5C">
              <w:rPr>
                <w:rFonts w:ascii="Times New Roman" w:hAnsi="Times New Roman" w:cs="Times New Roman"/>
                <w:sz w:val="24"/>
                <w:szCs w:val="24"/>
              </w:rPr>
              <w:t>Absolventi studijního programu při absolvování prokazují:</w:t>
            </w:r>
          </w:p>
        </w:tc>
      </w:tr>
      <w:tr w:rsidR="00401709" w:rsidRPr="001F45D3" w14:paraId="5267B4E8" w14:textId="77777777" w:rsidTr="00C60D5C">
        <w:trPr>
          <w:trHeight w:val="700"/>
        </w:trPr>
        <w:tc>
          <w:tcPr>
            <w:tcW w:w="2828" w:type="dxa"/>
            <w:vMerge/>
            <w:shd w:val="clear" w:color="auto" w:fill="F2F2F2" w:themeFill="background1" w:themeFillShade="F2"/>
            <w:vAlign w:val="center"/>
          </w:tcPr>
          <w:p w14:paraId="01CF63EB" w14:textId="77777777" w:rsidR="00401709" w:rsidRPr="00C60D5C" w:rsidRDefault="00401709" w:rsidP="00401709">
            <w:pPr>
              <w:spacing w:before="120"/>
              <w:jc w:val="center"/>
              <w:rPr>
                <w:rFonts w:ascii="Times New Roman" w:hAnsi="Times New Roman" w:cs="Times New Roman"/>
                <w:b/>
                <w:sz w:val="24"/>
                <w:szCs w:val="24"/>
              </w:rPr>
            </w:pPr>
          </w:p>
        </w:tc>
        <w:tc>
          <w:tcPr>
            <w:tcW w:w="3799" w:type="dxa"/>
            <w:shd w:val="clear" w:color="auto" w:fill="D9D9D9" w:themeFill="background1" w:themeFillShade="D9"/>
          </w:tcPr>
          <w:p w14:paraId="0C38CED2"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široké znalosti a porozumění předmětu a rozsahu daného oboru</w:t>
            </w:r>
          </w:p>
          <w:p w14:paraId="7A62F45A"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široké znalosti teorií, konceptů a metod oboru</w:t>
            </w:r>
          </w:p>
          <w:p w14:paraId="41451C05"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porozumění možnostem, podmínkám a omezením využití teorií, konceptů a metod oboru v praxi</w:t>
            </w:r>
          </w:p>
        </w:tc>
        <w:tc>
          <w:tcPr>
            <w:tcW w:w="3799" w:type="dxa"/>
            <w:shd w:val="clear" w:color="auto" w:fill="BFBFBF" w:themeFill="background1" w:themeFillShade="BF"/>
          </w:tcPr>
          <w:p w14:paraId="1350B5C6" w14:textId="77777777" w:rsidR="00401709" w:rsidRPr="00C60D5C" w:rsidRDefault="00401709" w:rsidP="00C60D5C">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široké a hluboké znalosti a porozumění předmětu a rozsahu oboru odpovídající soudobému stavu poznání</w:t>
            </w:r>
          </w:p>
          <w:p w14:paraId="1A5A2B1F"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široké a hluboké znalosti a porozumění teoriím, konceptům a metodám odpovídající soudobému stavu poznání v oboru</w:t>
            </w:r>
          </w:p>
          <w:p w14:paraId="103514F6"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porozumění možnostem, podmínkám a omezením využití poznatků souvisejících oborů</w:t>
            </w:r>
          </w:p>
        </w:tc>
        <w:tc>
          <w:tcPr>
            <w:tcW w:w="3799" w:type="dxa"/>
            <w:shd w:val="clear" w:color="auto" w:fill="A6A6A6" w:themeFill="background1" w:themeFillShade="A6"/>
          </w:tcPr>
          <w:p w14:paraId="5F71ECE5"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hluboké a systematické znalosti a porozumění předmětu a rozsahu oboru odpovídající soudobému stavu poznání</w:t>
            </w:r>
          </w:p>
          <w:p w14:paraId="3099EAA1" w14:textId="77777777" w:rsidR="00401709" w:rsidRPr="00C60D5C" w:rsidRDefault="00401709" w:rsidP="004435D6">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hluboké a systematické znalosti a porozumění teoriím, konceptům a metodám, které jsou v popředí poznání oboru na mezinárodní úrovni </w:t>
            </w:r>
          </w:p>
          <w:p w14:paraId="1BCAE95F" w14:textId="77777777" w:rsidR="00401709" w:rsidRPr="00C60D5C" w:rsidRDefault="00494B09" w:rsidP="00494B09">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porozumění systému věd a </w:t>
            </w:r>
            <w:r w:rsidR="00401709" w:rsidRPr="00C60D5C">
              <w:rPr>
                <w:rFonts w:ascii="Times New Roman" w:hAnsi="Times New Roman" w:cs="Times New Roman"/>
              </w:rPr>
              <w:t>výzkumným problémům na pomezí oborů</w:t>
            </w:r>
          </w:p>
        </w:tc>
      </w:tr>
      <w:tr w:rsidR="007C391A" w:rsidRPr="001F45D3" w14:paraId="041D4300" w14:textId="77777777" w:rsidTr="00C60D5C">
        <w:trPr>
          <w:trHeight w:val="301"/>
        </w:trPr>
        <w:tc>
          <w:tcPr>
            <w:tcW w:w="2828" w:type="dxa"/>
            <w:vMerge w:val="restart"/>
            <w:shd w:val="clear" w:color="auto" w:fill="F2F2F2" w:themeFill="background1" w:themeFillShade="F2"/>
            <w:vAlign w:val="center"/>
          </w:tcPr>
          <w:p w14:paraId="6F94087D" w14:textId="77777777" w:rsidR="007C391A" w:rsidRPr="00C60D5C" w:rsidRDefault="007C391A" w:rsidP="007D5497">
            <w:pPr>
              <w:spacing w:before="120"/>
              <w:jc w:val="center"/>
              <w:rPr>
                <w:rFonts w:ascii="Times New Roman" w:hAnsi="Times New Roman" w:cs="Times New Roman"/>
                <w:b/>
                <w:sz w:val="24"/>
                <w:szCs w:val="24"/>
              </w:rPr>
            </w:pPr>
            <w:r w:rsidRPr="00C60D5C">
              <w:rPr>
                <w:rFonts w:ascii="Times New Roman" w:hAnsi="Times New Roman" w:cs="Times New Roman"/>
                <w:b/>
                <w:sz w:val="24"/>
                <w:szCs w:val="24"/>
              </w:rPr>
              <w:t>Odborné dovednosti</w:t>
            </w:r>
          </w:p>
        </w:tc>
        <w:tc>
          <w:tcPr>
            <w:tcW w:w="11397" w:type="dxa"/>
            <w:gridSpan w:val="3"/>
            <w:shd w:val="clear" w:color="auto" w:fill="F2F2F2" w:themeFill="background1" w:themeFillShade="F2"/>
          </w:tcPr>
          <w:p w14:paraId="1D1685F1" w14:textId="77777777" w:rsidR="007C391A" w:rsidRPr="00C60D5C" w:rsidRDefault="00AF1D27" w:rsidP="00AF1D27">
            <w:pPr>
              <w:pStyle w:val="Odstavecseseznamem"/>
              <w:tabs>
                <w:tab w:val="left" w:pos="495"/>
                <w:tab w:val="center" w:pos="5704"/>
              </w:tabs>
              <w:spacing w:before="120" w:after="120"/>
              <w:ind w:left="227"/>
              <w:contextualSpacing w:val="0"/>
              <w:rPr>
                <w:rFonts w:ascii="Times New Roman" w:hAnsi="Times New Roman" w:cs="Times New Roman"/>
                <w:sz w:val="24"/>
                <w:szCs w:val="24"/>
              </w:rPr>
            </w:pPr>
            <w:r w:rsidRPr="00C60D5C">
              <w:rPr>
                <w:rFonts w:ascii="Times New Roman" w:hAnsi="Times New Roman" w:cs="Times New Roman"/>
                <w:sz w:val="24"/>
                <w:szCs w:val="24"/>
              </w:rPr>
              <w:tab/>
            </w:r>
            <w:r w:rsidRPr="00C60D5C">
              <w:rPr>
                <w:rFonts w:ascii="Times New Roman" w:hAnsi="Times New Roman" w:cs="Times New Roman"/>
                <w:sz w:val="24"/>
                <w:szCs w:val="24"/>
              </w:rPr>
              <w:tab/>
            </w:r>
            <w:r w:rsidR="007C391A" w:rsidRPr="00C60D5C">
              <w:rPr>
                <w:rFonts w:ascii="Times New Roman" w:hAnsi="Times New Roman" w:cs="Times New Roman"/>
                <w:sz w:val="24"/>
                <w:szCs w:val="24"/>
              </w:rPr>
              <w:t>Absolventi studijního programu při absolvování umí:</w:t>
            </w:r>
          </w:p>
        </w:tc>
      </w:tr>
      <w:tr w:rsidR="007C391A" w:rsidRPr="001F45D3" w14:paraId="145B8C69" w14:textId="77777777" w:rsidTr="00C60D5C">
        <w:trPr>
          <w:trHeight w:val="301"/>
        </w:trPr>
        <w:tc>
          <w:tcPr>
            <w:tcW w:w="2828" w:type="dxa"/>
            <w:vMerge/>
            <w:shd w:val="clear" w:color="auto" w:fill="F2F2F2" w:themeFill="background1" w:themeFillShade="F2"/>
            <w:vAlign w:val="center"/>
          </w:tcPr>
          <w:p w14:paraId="719FFF4F" w14:textId="77777777" w:rsidR="007C391A" w:rsidRPr="00C60D5C" w:rsidRDefault="007C391A" w:rsidP="00401709">
            <w:pPr>
              <w:spacing w:before="120"/>
              <w:jc w:val="center"/>
              <w:rPr>
                <w:rFonts w:ascii="Times New Roman" w:hAnsi="Times New Roman" w:cs="Times New Roman"/>
                <w:b/>
                <w:sz w:val="24"/>
                <w:szCs w:val="24"/>
              </w:rPr>
            </w:pPr>
          </w:p>
        </w:tc>
        <w:tc>
          <w:tcPr>
            <w:tcW w:w="3799" w:type="dxa"/>
            <w:shd w:val="clear" w:color="auto" w:fill="D9D9D9" w:themeFill="background1" w:themeFillShade="D9"/>
          </w:tcPr>
          <w:p w14:paraId="22126F44"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 využitím odborných znalostí na základě rámcově v</w:t>
            </w:r>
            <w:r w:rsidR="0080707D" w:rsidRPr="00C60D5C">
              <w:rPr>
                <w:rFonts w:ascii="Times New Roman" w:hAnsi="Times New Roman" w:cs="Times New Roman"/>
              </w:rPr>
              <w:t>ymezeného úkolu řešit</w:t>
            </w:r>
            <w:r w:rsidR="00653501" w:rsidRPr="00C60D5C">
              <w:rPr>
                <w:rFonts w:ascii="Times New Roman" w:hAnsi="Times New Roman" w:cs="Times New Roman"/>
              </w:rPr>
              <w:t xml:space="preserve"> </w:t>
            </w:r>
            <w:r w:rsidRPr="00C60D5C">
              <w:rPr>
                <w:rFonts w:ascii="Times New Roman" w:hAnsi="Times New Roman" w:cs="Times New Roman"/>
              </w:rPr>
              <w:t>problémy v oboru</w:t>
            </w:r>
          </w:p>
          <w:p w14:paraId="38433708"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vyhledat, utřídit a interpretovat informace relevantní pro řešení vymezeného problému </w:t>
            </w:r>
          </w:p>
          <w:p w14:paraId="05A2F1A5" w14:textId="77777777" w:rsidR="007C391A" w:rsidRPr="00C60D5C" w:rsidRDefault="007C391A" w:rsidP="00653501">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použít některé základní výzkumné postupy oboru v rozsahu potřebném pr</w:t>
            </w:r>
            <w:r w:rsidR="001516D8" w:rsidRPr="00C60D5C">
              <w:rPr>
                <w:rFonts w:ascii="Times New Roman" w:hAnsi="Times New Roman" w:cs="Times New Roman"/>
              </w:rPr>
              <w:t>o řešení problémů v </w:t>
            </w:r>
            <w:r w:rsidRPr="00C60D5C">
              <w:rPr>
                <w:rFonts w:ascii="Times New Roman" w:hAnsi="Times New Roman" w:cs="Times New Roman"/>
              </w:rPr>
              <w:t>oboru</w:t>
            </w:r>
          </w:p>
        </w:tc>
        <w:tc>
          <w:tcPr>
            <w:tcW w:w="3799" w:type="dxa"/>
            <w:shd w:val="clear" w:color="auto" w:fill="BFBFBF" w:themeFill="background1" w:themeFillShade="BF"/>
          </w:tcPr>
          <w:p w14:paraId="571D0235"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s využitím odborných znalostí samostatně vymezit a tvůrčím způsobem řešit teoretický </w:t>
            </w:r>
            <w:r w:rsidR="00653501" w:rsidRPr="00C60D5C">
              <w:rPr>
                <w:rFonts w:ascii="Times New Roman" w:hAnsi="Times New Roman" w:cs="Times New Roman"/>
              </w:rPr>
              <w:t xml:space="preserve">a </w:t>
            </w:r>
            <w:r w:rsidRPr="00C60D5C">
              <w:rPr>
                <w:rFonts w:ascii="Times New Roman" w:hAnsi="Times New Roman" w:cs="Times New Roman"/>
              </w:rPr>
              <w:t>praktický problém v oboru</w:t>
            </w:r>
          </w:p>
          <w:p w14:paraId="0EEA9F19"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a tvůrčím způsobem řešit komplexní problém s použitím vybraných teorií, konceptů a metod oboru</w:t>
            </w:r>
          </w:p>
          <w:p w14:paraId="59E62E83"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použít některé z pokročilých výzkumných postupů v oboru způsobem umožňujícím získávat nové původní informace </w:t>
            </w:r>
          </w:p>
        </w:tc>
        <w:tc>
          <w:tcPr>
            <w:tcW w:w="3799" w:type="dxa"/>
            <w:shd w:val="clear" w:color="auto" w:fill="A6A6A6" w:themeFill="background1" w:themeFillShade="A6"/>
          </w:tcPr>
          <w:p w14:paraId="6E934CC6"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navrhovat a používat pokročilé výzkumné postupy v oboru způsobem umožňujícím rozšiřovat poznání oboru původním výzkumem </w:t>
            </w:r>
          </w:p>
          <w:p w14:paraId="23F54B6E" w14:textId="77777777" w:rsidR="007C391A" w:rsidRPr="00C60D5C" w:rsidRDefault="007C391A"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rozvíjet a vyhodnocovat teorie, koncepty a metody oboru včetně vymezení oborů nebo jejich zařazení do širší oblasti</w:t>
            </w:r>
          </w:p>
        </w:tc>
      </w:tr>
      <w:tr w:rsidR="00AD45D9" w:rsidRPr="001F45D3" w14:paraId="17CB34E6" w14:textId="77777777" w:rsidTr="00C60D5C">
        <w:trPr>
          <w:trHeight w:val="301"/>
        </w:trPr>
        <w:tc>
          <w:tcPr>
            <w:tcW w:w="2828" w:type="dxa"/>
            <w:vMerge w:val="restart"/>
            <w:shd w:val="clear" w:color="auto" w:fill="F2F2F2" w:themeFill="background1" w:themeFillShade="F2"/>
            <w:vAlign w:val="center"/>
          </w:tcPr>
          <w:p w14:paraId="17265CA2" w14:textId="77777777" w:rsidR="00AD45D9" w:rsidRPr="00C60D5C" w:rsidRDefault="00AD45D9" w:rsidP="00C81E3D">
            <w:pPr>
              <w:spacing w:before="120"/>
              <w:jc w:val="center"/>
              <w:rPr>
                <w:rFonts w:ascii="Times New Roman" w:hAnsi="Times New Roman" w:cs="Times New Roman"/>
                <w:sz w:val="24"/>
                <w:szCs w:val="24"/>
              </w:rPr>
            </w:pPr>
            <w:r w:rsidRPr="00C60D5C">
              <w:rPr>
                <w:rFonts w:ascii="Times New Roman" w:hAnsi="Times New Roman" w:cs="Times New Roman"/>
                <w:b/>
                <w:sz w:val="24"/>
                <w:szCs w:val="24"/>
              </w:rPr>
              <w:lastRenderedPageBreak/>
              <w:t>Obecné způsobilosti</w:t>
            </w:r>
          </w:p>
        </w:tc>
        <w:tc>
          <w:tcPr>
            <w:tcW w:w="11397" w:type="dxa"/>
            <w:gridSpan w:val="3"/>
            <w:shd w:val="clear" w:color="auto" w:fill="F2F2F2" w:themeFill="background1" w:themeFillShade="F2"/>
          </w:tcPr>
          <w:p w14:paraId="35BC6714" w14:textId="77777777" w:rsidR="00AD45D9" w:rsidRPr="00C60D5C" w:rsidRDefault="00AD45D9" w:rsidP="008C29A7">
            <w:pPr>
              <w:pStyle w:val="Odstavecseseznamem"/>
              <w:spacing w:before="120" w:after="120"/>
              <w:ind w:left="227"/>
              <w:contextualSpacing w:val="0"/>
              <w:jc w:val="center"/>
              <w:rPr>
                <w:rFonts w:ascii="Times New Roman" w:hAnsi="Times New Roman" w:cs="Times New Roman"/>
                <w:sz w:val="24"/>
                <w:szCs w:val="24"/>
              </w:rPr>
            </w:pPr>
            <w:r w:rsidRPr="00C60D5C">
              <w:rPr>
                <w:rFonts w:ascii="Times New Roman" w:hAnsi="Times New Roman" w:cs="Times New Roman"/>
                <w:sz w:val="24"/>
                <w:szCs w:val="24"/>
              </w:rPr>
              <w:t>Absolventi studijního programu jsou při absolvování schopni:</w:t>
            </w:r>
          </w:p>
        </w:tc>
      </w:tr>
      <w:tr w:rsidR="00AD45D9" w:rsidRPr="001F45D3" w14:paraId="1E33BC9C" w14:textId="77777777" w:rsidTr="00C60D5C">
        <w:trPr>
          <w:trHeight w:val="301"/>
        </w:trPr>
        <w:tc>
          <w:tcPr>
            <w:tcW w:w="2828" w:type="dxa"/>
            <w:vMerge/>
            <w:shd w:val="clear" w:color="auto" w:fill="F2F2F2" w:themeFill="background1" w:themeFillShade="F2"/>
            <w:vAlign w:val="center"/>
          </w:tcPr>
          <w:p w14:paraId="69B90BBB" w14:textId="77777777" w:rsidR="00AD45D9" w:rsidRPr="00C60D5C" w:rsidRDefault="00AD45D9" w:rsidP="00401709">
            <w:pPr>
              <w:spacing w:before="120"/>
              <w:jc w:val="center"/>
              <w:rPr>
                <w:rFonts w:ascii="Times New Roman" w:hAnsi="Times New Roman" w:cs="Times New Roman"/>
                <w:b/>
                <w:sz w:val="24"/>
                <w:szCs w:val="24"/>
              </w:rPr>
            </w:pPr>
          </w:p>
        </w:tc>
        <w:tc>
          <w:tcPr>
            <w:tcW w:w="3799" w:type="dxa"/>
            <w:shd w:val="clear" w:color="auto" w:fill="D9D9D9" w:themeFill="background1" w:themeFillShade="D9"/>
          </w:tcPr>
          <w:p w14:paraId="7B03FD44"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a odpovědně se rozhodovat v jen částečně známých souvislostech na základě rámcového zadání</w:t>
            </w:r>
          </w:p>
          <w:p w14:paraId="63180EF7"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dle rámcového zadání a přidělených zdrojů koordinovat činnost týmu a nést odpovědnost za jeho výsledky </w:t>
            </w:r>
          </w:p>
          <w:p w14:paraId="2D02FDE9"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do řešení problémů zahrnout úvahu o jejich etickém rozměru</w:t>
            </w:r>
          </w:p>
          <w:p w14:paraId="66D3A7DD"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srozumitelně a přesvědčivě sdělovat odborníkům i laikům informace o povaze odborných problémů a vlastním názoru na jejich řešení</w:t>
            </w:r>
          </w:p>
          <w:p w14:paraId="60DBA96B"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srozumitelně shrnout názory ostatních členů týmu</w:t>
            </w:r>
          </w:p>
          <w:p w14:paraId="65FF496E"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jednat v rámci svých odborných znalostí, dovedností a způsobilostí v alespoň jednom cizím jazyce</w:t>
            </w:r>
          </w:p>
          <w:p w14:paraId="0DB0FFD1"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získávat další odborné znalosti, dovednosti a způsobilosti na základě především praktické zkušenosti a jejího vyhodnocení, ale také samostatným studiem teoretických poznatků oboru</w:t>
            </w:r>
          </w:p>
        </w:tc>
        <w:tc>
          <w:tcPr>
            <w:tcW w:w="3799" w:type="dxa"/>
            <w:shd w:val="clear" w:color="auto" w:fill="BFBFBF" w:themeFill="background1" w:themeFillShade="BF"/>
          </w:tcPr>
          <w:p w14:paraId="5A52BC42"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a odpovědně rozhodovat v nových nebo měnících se souvislostech nebo v zásadně se vyvíjejícím prostředí s přihlédnutím k širším společenským důsledkům rozhodování</w:t>
            </w:r>
          </w:p>
          <w:p w14:paraId="330D06D2"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dle vyvíjejících se souvislostí a dostupných zdrojů vymezit zadání pro odborné činnosti, koordinovat je, a nést konečnou odpovědnost za jejich výsledky</w:t>
            </w:r>
          </w:p>
          <w:p w14:paraId="15CB6DC6"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řešit etický problém</w:t>
            </w:r>
          </w:p>
          <w:p w14:paraId="383F0359"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srozumitelně a přesvědčivě sdělovat odborníkům i širší veřejnosti vlastní odborné názory </w:t>
            </w:r>
          </w:p>
          <w:p w14:paraId="64702C92"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jednat v rámci svých odborných znalostí, dovedností a způsobilostí v alespoň jednom cizím jazyce</w:t>
            </w:r>
          </w:p>
          <w:p w14:paraId="3E6AC291"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plánovat, podporovat a řídit s využitím teoretických poznatků oboru získávání dalších odborných znalostí, dovedností a způsobilostí ostatních členů týmu</w:t>
            </w:r>
          </w:p>
        </w:tc>
        <w:tc>
          <w:tcPr>
            <w:tcW w:w="3799" w:type="dxa"/>
            <w:shd w:val="clear" w:color="auto" w:fill="A6A6A6" w:themeFill="background1" w:themeFillShade="A6"/>
          </w:tcPr>
          <w:p w14:paraId="20B7133D"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vyhodnocovat nové poznatky a ideje s přihlédnutím k dlouhodobým společenským důsledkům jejich využívání</w:t>
            </w:r>
          </w:p>
          <w:p w14:paraId="2A69C77B"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plánovat rozsáhlé činnosti tvůrčí povahy a získávat a plánovat zdroje pro jejich uskutečnění</w:t>
            </w:r>
          </w:p>
          <w:p w14:paraId="371675A1"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samostatně řešit složitý etický problém při tvůrčí činností nebo využívání jejích výsledků</w:t>
            </w:r>
          </w:p>
          <w:p w14:paraId="73AB60F3"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 xml:space="preserve">srozumitelně a přesvědčivě sdělovat vlastní poznatky v oboru ostatním členům vědecké komunity na mezinárodní úrovni i široké veřejnosti </w:t>
            </w:r>
          </w:p>
          <w:p w14:paraId="10B344B7"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jednat v rámci svých odborných znalostí, dovedností a způsobilostí v alespoň jednom cizím jazyce, včetně</w:t>
            </w:r>
            <w:r w:rsidR="00771A5C" w:rsidRPr="00C60D5C">
              <w:rPr>
                <w:rFonts w:ascii="Times New Roman" w:hAnsi="Times New Roman" w:cs="Times New Roman"/>
              </w:rPr>
              <w:t xml:space="preserve"> ústní a písemné</w:t>
            </w:r>
            <w:r w:rsidRPr="00C60D5C">
              <w:rPr>
                <w:rFonts w:ascii="Times New Roman" w:hAnsi="Times New Roman" w:cs="Times New Roman"/>
              </w:rPr>
              <w:t xml:space="preserve"> prezentace výsledků tvůrčí </w:t>
            </w:r>
            <w:r w:rsidR="0080707D" w:rsidRPr="00C60D5C">
              <w:rPr>
                <w:rFonts w:ascii="Times New Roman" w:hAnsi="Times New Roman" w:cs="Times New Roman"/>
              </w:rPr>
              <w:t>činnosti</w:t>
            </w:r>
          </w:p>
          <w:p w14:paraId="485FCC77" w14:textId="77777777" w:rsidR="00AD45D9" w:rsidRPr="00C60D5C" w:rsidRDefault="00AD45D9" w:rsidP="00871C90">
            <w:pPr>
              <w:pStyle w:val="Odstavecseseznamem"/>
              <w:numPr>
                <w:ilvl w:val="0"/>
                <w:numId w:val="3"/>
              </w:numPr>
              <w:spacing w:before="120" w:after="120"/>
              <w:contextualSpacing w:val="0"/>
              <w:rPr>
                <w:rFonts w:ascii="Times New Roman" w:hAnsi="Times New Roman" w:cs="Times New Roman"/>
              </w:rPr>
            </w:pPr>
            <w:r w:rsidRPr="00C60D5C">
              <w:rPr>
                <w:rFonts w:ascii="Times New Roman" w:hAnsi="Times New Roman" w:cs="Times New Roman"/>
              </w:rPr>
              <w:t>získávat nové odborné znalosti, dovednosti a způsobilosti vlastní tvůrčí činností a ovlivňovat podmínky a souvislostí vzdělávání ostatních</w:t>
            </w:r>
          </w:p>
        </w:tc>
      </w:tr>
      <w:tr w:rsidR="00AD45D9" w:rsidRPr="001F45D3" w14:paraId="1F23CBD2" w14:textId="77777777" w:rsidTr="00C60D5C">
        <w:trPr>
          <w:trHeight w:val="1401"/>
        </w:trPr>
        <w:tc>
          <w:tcPr>
            <w:tcW w:w="2828" w:type="dxa"/>
            <w:vMerge/>
            <w:shd w:val="clear" w:color="auto" w:fill="F2F2F2" w:themeFill="background1" w:themeFillShade="F2"/>
            <w:vAlign w:val="center"/>
          </w:tcPr>
          <w:p w14:paraId="41D77C2C" w14:textId="77777777" w:rsidR="00AD45D9" w:rsidRPr="00C60D5C" w:rsidRDefault="00AD45D9" w:rsidP="00401709">
            <w:pPr>
              <w:spacing w:before="120"/>
              <w:jc w:val="center"/>
              <w:rPr>
                <w:rFonts w:ascii="Times New Roman" w:hAnsi="Times New Roman" w:cs="Times New Roman"/>
                <w:b/>
                <w:sz w:val="24"/>
                <w:szCs w:val="24"/>
              </w:rPr>
            </w:pPr>
          </w:p>
        </w:tc>
        <w:tc>
          <w:tcPr>
            <w:tcW w:w="11397" w:type="dxa"/>
            <w:gridSpan w:val="3"/>
            <w:shd w:val="clear" w:color="auto" w:fill="F2F2F2" w:themeFill="background1" w:themeFillShade="F2"/>
            <w:vAlign w:val="center"/>
          </w:tcPr>
          <w:p w14:paraId="02C3731D" w14:textId="77777777" w:rsidR="00AD45D9" w:rsidRPr="00C60D5C" w:rsidRDefault="00AD45D9" w:rsidP="009F7475">
            <w:pPr>
              <w:spacing w:before="60" w:after="120"/>
              <w:jc w:val="center"/>
              <w:rPr>
                <w:rFonts w:ascii="Times New Roman" w:hAnsi="Times New Roman" w:cs="Times New Roman"/>
                <w:sz w:val="24"/>
                <w:szCs w:val="24"/>
              </w:rPr>
            </w:pPr>
            <w:r w:rsidRPr="00C60D5C">
              <w:rPr>
                <w:rFonts w:ascii="Times New Roman" w:hAnsi="Times New Roman" w:cs="Times New Roman"/>
                <w:sz w:val="24"/>
                <w:szCs w:val="24"/>
              </w:rPr>
              <w:t xml:space="preserve">Studenti jsou jako plnohodnotní členové akademické obce ovlivňováni její svobodnou, nezávislou a demokratickou kulturou </w:t>
            </w:r>
            <w:r w:rsidR="009F7475" w:rsidRPr="00C60D5C">
              <w:rPr>
                <w:rFonts w:ascii="Times New Roman" w:hAnsi="Times New Roman" w:cs="Times New Roman"/>
                <w:sz w:val="24"/>
                <w:szCs w:val="24"/>
              </w:rPr>
              <w:t>a také svým</w:t>
            </w:r>
            <w:r w:rsidRPr="00C60D5C">
              <w:rPr>
                <w:rFonts w:ascii="Times New Roman" w:hAnsi="Times New Roman" w:cs="Times New Roman"/>
                <w:sz w:val="24"/>
                <w:szCs w:val="24"/>
              </w:rPr>
              <w:t xml:space="preserve"> přímým či nepřímým podílem na dalších činnostech a rolích vysoké školy</w:t>
            </w:r>
            <w:r w:rsidR="009F7475" w:rsidRPr="00C60D5C">
              <w:rPr>
                <w:rFonts w:ascii="Times New Roman" w:hAnsi="Times New Roman" w:cs="Times New Roman"/>
                <w:sz w:val="24"/>
                <w:szCs w:val="24"/>
              </w:rPr>
              <w:t xml:space="preserve"> nad rámec vzdělávací činnosti</w:t>
            </w:r>
            <w:r w:rsidRPr="00C60D5C">
              <w:rPr>
                <w:rFonts w:ascii="Times New Roman" w:hAnsi="Times New Roman" w:cs="Times New Roman"/>
                <w:sz w:val="24"/>
                <w:szCs w:val="24"/>
              </w:rPr>
              <w:t>. Studium na vysoké škole má proto pro studenty i přínosy v následujících oblastech:</w:t>
            </w:r>
          </w:p>
        </w:tc>
      </w:tr>
      <w:tr w:rsidR="00AD45D9" w:rsidRPr="001F45D3" w14:paraId="216E4AFF" w14:textId="77777777" w:rsidTr="00C60D5C">
        <w:trPr>
          <w:trHeight w:val="301"/>
        </w:trPr>
        <w:tc>
          <w:tcPr>
            <w:tcW w:w="2828" w:type="dxa"/>
            <w:vMerge/>
            <w:shd w:val="clear" w:color="auto" w:fill="F2F2F2" w:themeFill="background1" w:themeFillShade="F2"/>
            <w:vAlign w:val="center"/>
          </w:tcPr>
          <w:p w14:paraId="3B4EF82E" w14:textId="77777777" w:rsidR="00AD45D9" w:rsidRPr="00C60D5C" w:rsidRDefault="00AD45D9" w:rsidP="00401709">
            <w:pPr>
              <w:spacing w:before="120"/>
              <w:jc w:val="center"/>
              <w:rPr>
                <w:rFonts w:ascii="Times New Roman" w:hAnsi="Times New Roman" w:cs="Times New Roman"/>
                <w:b/>
                <w:sz w:val="24"/>
                <w:szCs w:val="24"/>
              </w:rPr>
            </w:pPr>
          </w:p>
        </w:tc>
        <w:tc>
          <w:tcPr>
            <w:tcW w:w="11397" w:type="dxa"/>
            <w:gridSpan w:val="3"/>
            <w:shd w:val="clear" w:color="auto" w:fill="BFBFBF" w:themeFill="background1" w:themeFillShade="BF"/>
          </w:tcPr>
          <w:p w14:paraId="5F93D2BA" w14:textId="77777777" w:rsidR="009F7475" w:rsidRPr="00C60D5C" w:rsidRDefault="009F7475" w:rsidP="009F7475">
            <w:pPr>
              <w:pStyle w:val="Odstavecseseznamem"/>
              <w:numPr>
                <w:ilvl w:val="0"/>
                <w:numId w:val="8"/>
              </w:numPr>
              <w:spacing w:before="60" w:after="120"/>
              <w:ind w:left="760" w:hanging="357"/>
              <w:jc w:val="both"/>
              <w:rPr>
                <w:rFonts w:ascii="Times New Roman" w:hAnsi="Times New Roman" w:cs="Times New Roman"/>
              </w:rPr>
            </w:pPr>
            <w:r w:rsidRPr="00C60D5C">
              <w:rPr>
                <w:rFonts w:ascii="Times New Roman" w:hAnsi="Times New Roman" w:cs="Times New Roman"/>
              </w:rPr>
              <w:t>vztahy a propojení se studenty jak vlastního oboru, tak ideálně různých oborů, vedoucí k širšímu pohledu jak na vlastní odbornou, tak i všeobecnou společenskou problematiku, které jsou rovněž využitelné v profesním uplatnění i mimo něj</w:t>
            </w:r>
          </w:p>
          <w:p w14:paraId="4508177D" w14:textId="77777777" w:rsidR="009F7475" w:rsidRPr="00C60D5C" w:rsidRDefault="009F7475" w:rsidP="009F7475">
            <w:pPr>
              <w:pStyle w:val="Odstavecseseznamem"/>
              <w:numPr>
                <w:ilvl w:val="0"/>
                <w:numId w:val="8"/>
              </w:numPr>
              <w:jc w:val="both"/>
              <w:rPr>
                <w:rFonts w:ascii="Times New Roman" w:hAnsi="Times New Roman" w:cs="Times New Roman"/>
              </w:rPr>
            </w:pPr>
            <w:r w:rsidRPr="00C60D5C">
              <w:rPr>
                <w:rFonts w:ascii="Times New Roman" w:hAnsi="Times New Roman" w:cs="Times New Roman"/>
              </w:rPr>
              <w:t>osvojení specifických kulturních hodnot spojených s akademickým prostředím založených na svobodě, demokracii a otevřenosti</w:t>
            </w:r>
          </w:p>
          <w:p w14:paraId="627A0228" w14:textId="77777777" w:rsidR="009F7475" w:rsidRPr="00C60D5C" w:rsidRDefault="009F7475" w:rsidP="009F7475">
            <w:pPr>
              <w:pStyle w:val="Odstavecseseznamem"/>
              <w:numPr>
                <w:ilvl w:val="0"/>
                <w:numId w:val="8"/>
              </w:numPr>
              <w:jc w:val="both"/>
              <w:rPr>
                <w:rFonts w:ascii="Times New Roman" w:hAnsi="Times New Roman" w:cs="Times New Roman"/>
              </w:rPr>
            </w:pPr>
            <w:r w:rsidRPr="00C60D5C">
              <w:rPr>
                <w:rFonts w:ascii="Times New Roman" w:hAnsi="Times New Roman" w:cs="Times New Roman"/>
              </w:rPr>
              <w:t>internacionalizace umožněná jak mezinárodním prostředím na domácí vysoké škole tak zahraničními studijními či výzkumnými návštěvami a pobyty, která podporuje otevřený a tolerantní přístup a napomáhá mezinárodnímu uplatnění jednotlivce</w:t>
            </w:r>
          </w:p>
          <w:p w14:paraId="7DB19A02" w14:textId="77777777" w:rsidR="00AD45D9" w:rsidRPr="00C60D5C" w:rsidRDefault="009F7475" w:rsidP="009F7475">
            <w:pPr>
              <w:pStyle w:val="Odstavecseseznamem"/>
              <w:numPr>
                <w:ilvl w:val="0"/>
                <w:numId w:val="8"/>
              </w:numPr>
              <w:jc w:val="both"/>
              <w:rPr>
                <w:rFonts w:ascii="Times New Roman" w:hAnsi="Times New Roman" w:cs="Times New Roman"/>
              </w:rPr>
            </w:pPr>
            <w:r w:rsidRPr="00C60D5C">
              <w:rPr>
                <w:rFonts w:ascii="Times New Roman" w:hAnsi="Times New Roman" w:cs="Times New Roman"/>
              </w:rPr>
              <w:t>studium vedoucí k III. úrovni kvalifikace (doktorské studium) svým zaměřením na původní tvůrčí činnost studentů rozvíjí řadu specifických kompetencí nepostihnutelných obecným slovníkem výsledků učení</w:t>
            </w:r>
          </w:p>
        </w:tc>
      </w:tr>
    </w:tbl>
    <w:p w14:paraId="29B320EC" w14:textId="09633386" w:rsidR="001E499D" w:rsidRDefault="001E499D" w:rsidP="0091185D">
      <w:pPr>
        <w:ind w:left="720"/>
        <w:jc w:val="both"/>
      </w:pPr>
    </w:p>
    <w:p w14:paraId="4C3D4A79" w14:textId="77777777" w:rsidR="00EA56A5" w:rsidRDefault="00EA56A5" w:rsidP="001E499D">
      <w:pPr>
        <w:pStyle w:val="Nadpis2"/>
        <w:spacing w:before="120"/>
        <w:jc w:val="center"/>
        <w:rPr>
          <w:rFonts w:ascii="Times New Roman" w:hAnsi="Times New Roman" w:cs="Times New Roman"/>
          <w:color w:val="auto"/>
          <w:sz w:val="28"/>
          <w:szCs w:val="28"/>
        </w:rPr>
      </w:pPr>
    </w:p>
    <w:p w14:paraId="7D86B0BD" w14:textId="41E0ED44" w:rsidR="001E499D" w:rsidRPr="001510E7" w:rsidRDefault="001E499D" w:rsidP="001E499D">
      <w:pPr>
        <w:pStyle w:val="Nadpis2"/>
        <w:spacing w:before="120"/>
        <w:jc w:val="center"/>
        <w:rPr>
          <w:rFonts w:ascii="Times New Roman" w:hAnsi="Times New Roman" w:cs="Times New Roman"/>
          <w:color w:val="auto"/>
          <w:sz w:val="28"/>
          <w:szCs w:val="28"/>
        </w:rPr>
      </w:pPr>
      <w:r w:rsidRPr="001510E7">
        <w:rPr>
          <w:rFonts w:ascii="Times New Roman" w:hAnsi="Times New Roman" w:cs="Times New Roman"/>
          <w:color w:val="auto"/>
          <w:sz w:val="28"/>
          <w:szCs w:val="28"/>
        </w:rPr>
        <w:t>Vysvětlení pojmů a principů:</w:t>
      </w:r>
    </w:p>
    <w:p w14:paraId="33374AF5" w14:textId="77777777" w:rsidR="001E499D" w:rsidRPr="001E499D" w:rsidRDefault="001E499D" w:rsidP="001E499D">
      <w:pPr>
        <w:pStyle w:val="Bezmezer"/>
        <w:numPr>
          <w:ilvl w:val="0"/>
          <w:numId w:val="10"/>
        </w:numPr>
        <w:spacing w:after="80" w:line="276" w:lineRule="auto"/>
        <w:ind w:left="357" w:hanging="357"/>
        <w:jc w:val="both"/>
        <w:rPr>
          <w:rFonts w:ascii="Times New Roman" w:hAnsi="Times New Roman" w:cs="Times New Roman"/>
          <w:sz w:val="24"/>
        </w:rPr>
      </w:pPr>
      <w:r w:rsidRPr="001E499D">
        <w:rPr>
          <w:rFonts w:ascii="Times New Roman" w:eastAsia="TimesCE-Italic" w:hAnsi="Times New Roman" w:cs="Times New Roman"/>
          <w:sz w:val="24"/>
        </w:rPr>
        <w:t>Předpokládá se, že absolventi studijního programu vyšší kvalifikační úrovně mají také znalosti, dovednosti a způsobilosti příslušející studijnímu programu nižší kvalifikační úrovně.</w:t>
      </w:r>
    </w:p>
    <w:p w14:paraId="6B4372FE" w14:textId="18E01FA8" w:rsidR="001E499D" w:rsidRPr="001E499D" w:rsidRDefault="001E499D" w:rsidP="001E499D">
      <w:pPr>
        <w:pStyle w:val="Bezmezer"/>
        <w:numPr>
          <w:ilvl w:val="0"/>
          <w:numId w:val="10"/>
        </w:numPr>
        <w:spacing w:after="80" w:line="276" w:lineRule="auto"/>
        <w:ind w:left="357" w:hanging="357"/>
        <w:jc w:val="both"/>
        <w:rPr>
          <w:rFonts w:ascii="Times New Roman" w:hAnsi="Times New Roman" w:cs="Times New Roman"/>
          <w:sz w:val="24"/>
        </w:rPr>
      </w:pPr>
      <w:r w:rsidRPr="001E499D">
        <w:rPr>
          <w:rFonts w:ascii="Times New Roman" w:eastAsia="TimesCE-Italic" w:hAnsi="Times New Roman" w:cs="Times New Roman"/>
          <w:b/>
          <w:sz w:val="24"/>
        </w:rPr>
        <w:t>Kreditová hodnota ECTS</w:t>
      </w:r>
      <w:r w:rsidR="00C35E52">
        <w:rPr>
          <w:rStyle w:val="Znakapoznpodarou"/>
          <w:rFonts w:ascii="Times New Roman" w:eastAsia="TimesCE-Italic" w:hAnsi="Times New Roman" w:cs="Times New Roman"/>
          <w:b/>
          <w:sz w:val="24"/>
        </w:rPr>
        <w:footnoteReference w:id="1"/>
      </w:r>
      <w:r w:rsidRPr="001E499D">
        <w:rPr>
          <w:rFonts w:ascii="Times New Roman" w:eastAsia="TimesCE-Italic" w:hAnsi="Times New Roman" w:cs="Times New Roman"/>
          <w:sz w:val="24"/>
        </w:rPr>
        <w:t xml:space="preserve"> vychází z metodiky Evropského systému přenosu a akumulace kreditů. Užívání kreditů ECTS se řídí Příručkou pro uživatele ECTS</w:t>
      </w:r>
      <w:r w:rsidRPr="001E499D">
        <w:rPr>
          <w:rStyle w:val="Znakapoznpodarou"/>
          <w:rFonts w:ascii="Times New Roman" w:eastAsia="TimesCE-Italic" w:hAnsi="Times New Roman" w:cs="Times New Roman"/>
          <w:sz w:val="24"/>
        </w:rPr>
        <w:footnoteReference w:id="2"/>
      </w:r>
      <w:r w:rsidRPr="001E499D">
        <w:rPr>
          <w:rFonts w:ascii="Times New Roman" w:eastAsia="TimesCE-Italic" w:hAnsi="Times New Roman" w:cs="Times New Roman"/>
          <w:sz w:val="24"/>
        </w:rPr>
        <w:t>, dle kterého kredity ECTS kvantitativně vyjadřují objem učení na základě definovaných výsledků učení a odvozené studijní zátěže. Výsledky učení a odpovídající studijní zátěž v jednom akademickém roce nebo jeho ekvivalentu odpovídají 60 kreditům.</w:t>
      </w:r>
      <w:r w:rsidRPr="001E499D">
        <w:rPr>
          <w:rStyle w:val="Znakapoznpodarou"/>
          <w:rFonts w:ascii="Times New Roman" w:eastAsia="TimesCE-Italic" w:hAnsi="Times New Roman" w:cs="Times New Roman"/>
          <w:sz w:val="24"/>
        </w:rPr>
        <w:footnoteReference w:id="3"/>
      </w:r>
      <w:r w:rsidRPr="001E499D">
        <w:rPr>
          <w:rFonts w:ascii="Times New Roman" w:eastAsia="TimesCE-Italic" w:hAnsi="Times New Roman" w:cs="Times New Roman"/>
          <w:sz w:val="24"/>
        </w:rPr>
        <w:t xml:space="preserve"> </w:t>
      </w:r>
      <w:r w:rsidRPr="001E499D">
        <w:rPr>
          <w:rFonts w:ascii="Times New Roman" w:eastAsia="TimesCE-Italic" w:hAnsi="Times New Roman" w:cs="Times New Roman"/>
          <w:sz w:val="24"/>
        </w:rPr>
        <w:lastRenderedPageBreak/>
        <w:t>Studijní zátěž je odhadem typické časové náročnosti splnění všech aktivit (např. přednášek, seminářů, projektové</w:t>
      </w:r>
      <w:r w:rsidR="007037FC">
        <w:rPr>
          <w:rFonts w:ascii="Times New Roman" w:eastAsia="TimesCE-Italic" w:hAnsi="Times New Roman" w:cs="Times New Roman"/>
          <w:sz w:val="24"/>
        </w:rPr>
        <w:t xml:space="preserve"> práce, cvičení, stáží, praxí a </w:t>
      </w:r>
      <w:r w:rsidRPr="001E499D">
        <w:rPr>
          <w:rFonts w:ascii="Times New Roman" w:eastAsia="TimesCE-Italic" w:hAnsi="Times New Roman" w:cs="Times New Roman"/>
          <w:sz w:val="24"/>
        </w:rPr>
        <w:t>individuálního studia), které jsou vyžadovány pro dosažení stanovených výsledků učení.</w:t>
      </w:r>
    </w:p>
    <w:p w14:paraId="159F59E3" w14:textId="73E3A662"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eastAsia="TimesCE-Italic" w:hAnsi="Times New Roman" w:cs="Times New Roman"/>
          <w:sz w:val="24"/>
        </w:rPr>
        <w:t>Druhá (II.) úroveň kvalifikací (magisterské studijní programy) dosahuje hodnoty 60–180 kreditů v p</w:t>
      </w:r>
      <w:r w:rsidR="007037FC">
        <w:rPr>
          <w:rFonts w:ascii="Times New Roman" w:eastAsia="TimesCE-Italic" w:hAnsi="Times New Roman" w:cs="Times New Roman"/>
          <w:sz w:val="24"/>
        </w:rPr>
        <w:t>řípadě programů navazujících na </w:t>
      </w:r>
      <w:r w:rsidRPr="001E499D">
        <w:rPr>
          <w:rFonts w:ascii="Times New Roman" w:eastAsia="TimesCE-Italic" w:hAnsi="Times New Roman" w:cs="Times New Roman"/>
          <w:sz w:val="24"/>
        </w:rPr>
        <w:t>bakalářský studijní program, respektive hodnoty 300–360 kreditů v případě programů nenavazujících na bakalářský studijní program.</w:t>
      </w:r>
    </w:p>
    <w:p w14:paraId="1D480440" w14:textId="77777777" w:rsidR="001E499D" w:rsidRPr="001E499D" w:rsidRDefault="001E499D" w:rsidP="001E499D">
      <w:pPr>
        <w:pStyle w:val="Bezmezer"/>
        <w:numPr>
          <w:ilvl w:val="2"/>
          <w:numId w:val="10"/>
        </w:numPr>
        <w:spacing w:after="80" w:line="276" w:lineRule="auto"/>
        <w:ind w:left="1276" w:hanging="556"/>
        <w:jc w:val="both"/>
        <w:rPr>
          <w:rFonts w:ascii="Times New Roman" w:hAnsi="Times New Roman" w:cs="Times New Roman"/>
          <w:sz w:val="24"/>
        </w:rPr>
      </w:pPr>
      <w:r w:rsidRPr="001E499D">
        <w:rPr>
          <w:rFonts w:ascii="Times New Roman" w:hAnsi="Times New Roman" w:cs="Times New Roman"/>
          <w:sz w:val="24"/>
        </w:rPr>
        <w:t>Kreditová hodnota odpovídající dolnímu rozsahu daného rozpětí u studijních programů navazujících na bakalářské studijní programy (60–90 kreditů) se předpokládá u studijních programů s přímou návazností na bakalářské studijní programy s kreditovou hodnotou odpovídající hornímu rozsahu (210–240 kreditů) rozpětí určeného pro bakalářské studijní programy.</w:t>
      </w:r>
    </w:p>
    <w:p w14:paraId="6ED7DA39" w14:textId="77777777" w:rsidR="001E499D" w:rsidRPr="001E499D" w:rsidRDefault="001E499D" w:rsidP="001E499D">
      <w:pPr>
        <w:pStyle w:val="Bezmezer"/>
        <w:numPr>
          <w:ilvl w:val="2"/>
          <w:numId w:val="10"/>
        </w:numPr>
        <w:spacing w:after="80" w:line="276" w:lineRule="auto"/>
        <w:ind w:left="1276" w:hanging="556"/>
        <w:jc w:val="both"/>
        <w:rPr>
          <w:rFonts w:ascii="Times New Roman" w:hAnsi="Times New Roman" w:cs="Times New Roman"/>
          <w:sz w:val="24"/>
        </w:rPr>
      </w:pPr>
      <w:r w:rsidRPr="001E499D">
        <w:rPr>
          <w:rFonts w:ascii="Times New Roman" w:hAnsi="Times New Roman" w:cs="Times New Roman"/>
          <w:sz w:val="24"/>
        </w:rPr>
        <w:t>Kreditová hodnota odpovídající hornímu rozsahu daného rozpětí u studijních programů navazujících na bakalářské studijní programy (150–180 kreditů) a u studijních programů nenavazujících na bakalářské studijní programy (330–360 kreditů) se předpokládá u studijních programů směřujících ke kvalifikacím poskytujícím základ pro uplatnění v některém regulovaném povolání.</w:t>
      </w:r>
    </w:p>
    <w:p w14:paraId="69DBA7C7" w14:textId="5978F7E9"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sz w:val="24"/>
        </w:rPr>
        <w:t>V případě kreditové hodnoty ECTS u třetí (III.) úrovně kvalifikací se jedná o doporučující hodnotu v p</w:t>
      </w:r>
      <w:r w:rsidR="00F320BC">
        <w:rPr>
          <w:rFonts w:ascii="Times New Roman" w:hAnsi="Times New Roman" w:cs="Times New Roman"/>
          <w:sz w:val="24"/>
        </w:rPr>
        <w:t>řípadě, že ECTS kredity jsou na </w:t>
      </w:r>
      <w:r w:rsidRPr="001E499D">
        <w:rPr>
          <w:rFonts w:ascii="Times New Roman" w:hAnsi="Times New Roman" w:cs="Times New Roman"/>
          <w:sz w:val="24"/>
        </w:rPr>
        <w:t xml:space="preserve">vysoké škole pro doktorské studijní programy užívány. </w:t>
      </w:r>
    </w:p>
    <w:p w14:paraId="2AC06CDD"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b/>
          <w:sz w:val="24"/>
        </w:rPr>
      </w:pPr>
      <w:r w:rsidRPr="001E499D">
        <w:rPr>
          <w:rFonts w:ascii="Times New Roman" w:hAnsi="Times New Roman" w:cs="Times New Roman"/>
          <w:b/>
          <w:sz w:val="24"/>
        </w:rPr>
        <w:t xml:space="preserve">Evropský rámec kvalifikací pro celoživotní učení (EQF) </w:t>
      </w:r>
      <w:r w:rsidRPr="001E499D">
        <w:rPr>
          <w:rFonts w:ascii="Times New Roman" w:hAnsi="Times New Roman" w:cs="Times New Roman"/>
          <w:sz w:val="24"/>
        </w:rPr>
        <w:t>je společným evropským referenčním rámcem umožňujícím zemím Evropské unie vzájemné propojení kvalifikačních systémů. EQF využívá osm referenčních úrovní kvalifikací založených na popisu výsledků učení kategorizovaných na znalosti, dovednosti a kompetence. EQF byl přijat Evropským parlamentem a Radou EU 23. dubna 2008. Národní kvalifikační systémy by měly být přiřazeny k úrovním EQF, možností je rovněž přiřazení úrovní národních rámců kvalifikací k úrovním EQF.</w:t>
      </w:r>
    </w:p>
    <w:p w14:paraId="331D1F85"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b/>
          <w:sz w:val="24"/>
        </w:rPr>
      </w:pPr>
      <w:r w:rsidRPr="001E499D">
        <w:rPr>
          <w:rFonts w:ascii="Times New Roman" w:hAnsi="Times New Roman" w:cs="Times New Roman"/>
          <w:b/>
          <w:sz w:val="24"/>
        </w:rPr>
        <w:t xml:space="preserve">Rámec kvalifikací Evropského prostoru vysokoškolského vzdělávání (QF-EHEA) </w:t>
      </w:r>
      <w:r w:rsidRPr="001E499D">
        <w:rPr>
          <w:rFonts w:ascii="Times New Roman" w:hAnsi="Times New Roman" w:cs="Times New Roman"/>
          <w:sz w:val="24"/>
        </w:rPr>
        <w:t>je zastřešujícím rámcem pro kvalifikace terciárního vzdělávání zemí sdružených v EHEA. QF-EHEA obsahuje tři cykly popsané předpokládanými výsledky učení dle tzv. Dublinských deskriptorů, první cyklus navíc zahrnuje programy tzv. krátkého cyklu. Byl přijat v roce 2005 a členské země se zavázaly vytvořit národní rámce kvalifikací, jež by byly se zastřešujícím rámcem EHEA kompatibilní.</w:t>
      </w:r>
    </w:p>
    <w:p w14:paraId="7F4F04DC" w14:textId="77777777" w:rsidR="001E499D" w:rsidRPr="001E499D" w:rsidRDefault="001E499D" w:rsidP="001E499D">
      <w:pPr>
        <w:pStyle w:val="Bezmezer"/>
        <w:numPr>
          <w:ilvl w:val="0"/>
          <w:numId w:val="10"/>
        </w:numPr>
        <w:spacing w:after="80" w:line="276" w:lineRule="auto"/>
        <w:ind w:left="357" w:hanging="357"/>
        <w:jc w:val="both"/>
        <w:rPr>
          <w:rFonts w:ascii="Times New Roman" w:hAnsi="Times New Roman" w:cs="Times New Roman"/>
          <w:sz w:val="24"/>
        </w:rPr>
      </w:pPr>
      <w:r w:rsidRPr="001E499D">
        <w:rPr>
          <w:rFonts w:ascii="Times New Roman" w:hAnsi="Times New Roman" w:cs="Times New Roman"/>
          <w:b/>
          <w:sz w:val="24"/>
        </w:rPr>
        <w:t>Odborné znalosti</w:t>
      </w:r>
      <w:r w:rsidRPr="001E499D">
        <w:rPr>
          <w:rFonts w:ascii="Times New Roman" w:hAnsi="Times New Roman" w:cs="Times New Roman"/>
          <w:sz w:val="24"/>
        </w:rPr>
        <w:t xml:space="preserve"> jsou faktické a teoretické. Faktické znalosti se vztahují zejména k předmětu vědění v daném oboru; teoretické znalosti se týkají zejména teorií, konceptů a metod poznávání a interpretace v daném oboru.</w:t>
      </w:r>
    </w:p>
    <w:p w14:paraId="157A5A12"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Široké znalosti</w:t>
      </w:r>
      <w:r w:rsidRPr="001E499D">
        <w:rPr>
          <w:rFonts w:ascii="Times New Roman" w:hAnsi="Times New Roman" w:cs="Times New Roman"/>
          <w:sz w:val="24"/>
        </w:rPr>
        <w:t xml:space="preserve"> se opírají především o sekundární prameny oboru a předpokládá se jejich uplatnění jak v praxi (mimo akademické povolání, což je jinak samozřejmě také druh praxe), tak při pokračujícím vzdělávání (schopnost dále se pod odborným vedením vzdělávat je jednou ze způsobilostí nabývaných v první (I.) úrovni, pro jejíž vymezení je kategorie širokých znalostí zásadní).</w:t>
      </w:r>
    </w:p>
    <w:p w14:paraId="11DE189E"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lastRenderedPageBreak/>
        <w:t>Hluboké znalosti</w:t>
      </w:r>
      <w:r w:rsidRPr="001E499D">
        <w:rPr>
          <w:rFonts w:ascii="Times New Roman" w:hAnsi="Times New Roman" w:cs="Times New Roman"/>
          <w:sz w:val="24"/>
        </w:rPr>
        <w:t xml:space="preserve"> se vztahují k určitému výseku oboru/oblasti vzdělávání ve své šíři; předpokládá se, že se opírají jak o sekundární prameny, tak o výsledky vlastní tvůrčí činnosti (dovednost získávat nové poznatky pokročilými výzkumnými postupy oboru je jedním ze znaků druhé (II.) úrovně, pro kterou jsou hluboké znalosti charakteristické). Zatímco široké znalosti předpokládají především prosté porozumění, schopnost bezprostřední aplikace, případně také analýzy, pro hluboké znalosti je typická převaha vyšší míry schopnosti porozumění, tj. analýzy, syntézy a evaluace.</w:t>
      </w:r>
    </w:p>
    <w:p w14:paraId="10632218"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Systematické znalosti</w:t>
      </w:r>
      <w:r w:rsidRPr="001E499D">
        <w:rPr>
          <w:rFonts w:ascii="Times New Roman" w:hAnsi="Times New Roman" w:cs="Times New Roman"/>
          <w:sz w:val="24"/>
        </w:rPr>
        <w:t xml:space="preserve"> (charakterizující třetí (III.) úroveň) jsou založeny na dominanci schopnosti evaluace a vztahují se ke schopnosti propojit vysokou míru specializovaného poznání (hluboké znalosti) s dostupnými vědeckými poznatky a teoriemi vůbec.</w:t>
      </w:r>
    </w:p>
    <w:p w14:paraId="461FAB24" w14:textId="77777777" w:rsidR="001E499D" w:rsidRPr="001E499D" w:rsidRDefault="001E499D" w:rsidP="001E499D">
      <w:pPr>
        <w:pStyle w:val="Odstavecseseznamem"/>
        <w:numPr>
          <w:ilvl w:val="1"/>
          <w:numId w:val="10"/>
        </w:numPr>
        <w:spacing w:after="80"/>
        <w:ind w:left="788" w:hanging="431"/>
        <w:jc w:val="both"/>
        <w:rPr>
          <w:rFonts w:ascii="Times New Roman" w:eastAsiaTheme="minorHAnsi" w:hAnsi="Times New Roman" w:cs="Times New Roman"/>
          <w:sz w:val="24"/>
        </w:rPr>
      </w:pPr>
      <w:r w:rsidRPr="001E499D">
        <w:rPr>
          <w:rFonts w:ascii="Times New Roman" w:hAnsi="Times New Roman" w:cs="Times New Roman"/>
          <w:sz w:val="24"/>
        </w:rPr>
        <w:t xml:space="preserve">Kategorie </w:t>
      </w:r>
      <w:r w:rsidRPr="001E499D">
        <w:rPr>
          <w:rFonts w:ascii="Times New Roman" w:hAnsi="Times New Roman" w:cs="Times New Roman"/>
          <w:b/>
          <w:sz w:val="24"/>
        </w:rPr>
        <w:t>porozumění</w:t>
      </w:r>
      <w:r w:rsidRPr="001E499D">
        <w:rPr>
          <w:rFonts w:ascii="Times New Roman" w:hAnsi="Times New Roman" w:cs="Times New Roman"/>
          <w:sz w:val="24"/>
        </w:rPr>
        <w:t xml:space="preserve"> je užívána ve spojení se znalostmi a označuje požadavek, aby úroveň ovládnutí znalostí umožňovala více než pouhé reprodukování a gradovala v kontextu potřeby </w:t>
      </w:r>
      <w:r w:rsidRPr="001E499D">
        <w:rPr>
          <w:rFonts w:ascii="Times New Roman" w:eastAsiaTheme="minorHAnsi" w:hAnsi="Times New Roman" w:cs="Times New Roman"/>
          <w:sz w:val="24"/>
        </w:rPr>
        <w:t>funkčního používání horizontálně souvisejících dovedností a způsobilostí.</w:t>
      </w:r>
    </w:p>
    <w:p w14:paraId="47F5554D"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 xml:space="preserve">Odborné dovednosti </w:t>
      </w:r>
      <w:r w:rsidRPr="001E499D">
        <w:rPr>
          <w:rFonts w:ascii="Times New Roman" w:hAnsi="Times New Roman" w:cs="Times New Roman"/>
          <w:sz w:val="24"/>
        </w:rPr>
        <w:t>jsou vymezeny jako schopnost použití odborných znalostí. Nejde tedy např. o to, jaké výzkumné metody absolvent zná (ve smyslu: ví o nich, je schopen je popsat, vysvětlit a rozlišovat), ale s jakými metodami, v jakém rozsahu a na jaké úrovni je schopen pracovat. (Prostá znalost výzkumných metod spadá do kategorie odborných znalostí teoretických.)</w:t>
      </w:r>
    </w:p>
    <w:p w14:paraId="29D640EB"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Řešením problémů</w:t>
      </w:r>
      <w:r w:rsidRPr="001E499D">
        <w:rPr>
          <w:rFonts w:ascii="Times New Roman" w:hAnsi="Times New Roman" w:cs="Times New Roman"/>
          <w:sz w:val="24"/>
        </w:rPr>
        <w:t xml:space="preserve"> se rozumí schopnost zjistit základní příčinu určitého jevu (stavu).</w:t>
      </w:r>
    </w:p>
    <w:p w14:paraId="1B8537F6"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Výzkumnými postupy</w:t>
      </w:r>
      <w:r w:rsidRPr="001E499D">
        <w:rPr>
          <w:rFonts w:ascii="Times New Roman" w:hAnsi="Times New Roman" w:cs="Times New Roman"/>
          <w:sz w:val="24"/>
        </w:rPr>
        <w:t xml:space="preserve"> se v rámci kategorie dovedností rozumí všechny postupy poznávání založené na vědecké metodě, i když nejsou použity v úzce chápaném akademickém kontextu. Nemusí se tudíž jednat pouze o výzkum a vývoj jako takový, ale i o praktické užití postupů, jako jsou diagnostické metody apod. Adjektiva „základní“ a „pokročilé“ je třeba chápat v těchto souvislostech ve vztahu k funkci, jakou má tato dovednost na dané kvalifikační úrovni plnit.</w:t>
      </w:r>
    </w:p>
    <w:p w14:paraId="60C0A1DF"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Dovednost provádět vědecký výzkum v plném rozsahu</w:t>
      </w:r>
      <w:r w:rsidRPr="001E499D">
        <w:rPr>
          <w:rFonts w:ascii="Times New Roman" w:hAnsi="Times New Roman" w:cs="Times New Roman"/>
          <w:sz w:val="24"/>
        </w:rPr>
        <w:t>, včetně tvorby a vyhodnocování teorií, konceptů a metod, se očekává až ve třetí (III.) kvalifikační úrovni; stupeň pokročilosti zvládaných výzkumných postupů, prokázaný při ukončení druhé (II.) kvalifikační úrovně, má být takový, aby umožnil zahájení studia ve třetí (III.) kvalifikační úrovni.</w:t>
      </w:r>
    </w:p>
    <w:p w14:paraId="590EC91E"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Obecné způsobilosti</w:t>
      </w:r>
      <w:r w:rsidRPr="001E499D">
        <w:rPr>
          <w:rFonts w:ascii="Times New Roman" w:hAnsi="Times New Roman" w:cs="Times New Roman"/>
          <w:sz w:val="24"/>
        </w:rPr>
        <w:t xml:space="preserve"> vyjadřují, v jakém kontextu a s jakou mírou samostatnosti a odpovědnosti je nositel kvalifikace schopen uplatňovat odborné znalosti a odborné dovednosti. Adjektivum „obecné“ značí předpoklad, že způsobilosti vymezené popsanými výsledky učení jsou společné v rozsahu jednotlivých kvalifikačních úrovní pro celé vysokoškolské vzdělávání, tj. bez ohledu na oblast vzdělávání. Obecné způsobilosti představují kategorii, na níž do značné míry staví profily jednotlivých kvalifikací při formulaci předpokládaného uplatnění absolventů. Obecné způsobilosti mají v rámci horizontálních vazeb v kvalifikačním rámci (propojení znalostí, dovedností a způsobilostí v rámci téže kvalifikační úrovně) důležitý význam tím, že vyjadřují kontext, avšak činí tak ve formě samostatně pozorovatelných výsledků učení, jejichž </w:t>
      </w:r>
      <w:r w:rsidRPr="001E499D">
        <w:rPr>
          <w:rFonts w:ascii="Times New Roman" w:hAnsi="Times New Roman" w:cs="Times New Roman"/>
          <w:sz w:val="24"/>
        </w:rPr>
        <w:lastRenderedPageBreak/>
        <w:t>naplňování kurikulem studijního programu je neméně závažné, než je tomu u znalostí a dovedností. Obecné způsobilosti zahrnují především tvoření úsudku, komunikaci a schopnost dalšího vzdělávání.</w:t>
      </w:r>
    </w:p>
    <w:p w14:paraId="27466D53" w14:textId="77777777" w:rsidR="001E499D" w:rsidRPr="001E499D" w:rsidRDefault="001E499D" w:rsidP="001E499D">
      <w:pPr>
        <w:pStyle w:val="Bezmezer"/>
        <w:numPr>
          <w:ilvl w:val="1"/>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Etický problém</w:t>
      </w:r>
      <w:r w:rsidRPr="001E499D">
        <w:rPr>
          <w:rFonts w:ascii="Times New Roman" w:hAnsi="Times New Roman" w:cs="Times New Roman"/>
          <w:sz w:val="24"/>
        </w:rPr>
        <w:t xml:space="preserve"> a </w:t>
      </w:r>
      <w:r w:rsidRPr="001E499D">
        <w:rPr>
          <w:rFonts w:ascii="Times New Roman" w:hAnsi="Times New Roman" w:cs="Times New Roman"/>
          <w:b/>
          <w:sz w:val="24"/>
        </w:rPr>
        <w:t>etický rozměr problému</w:t>
      </w:r>
      <w:r w:rsidRPr="001E499D">
        <w:rPr>
          <w:rFonts w:ascii="Times New Roman" w:hAnsi="Times New Roman" w:cs="Times New Roman"/>
          <w:sz w:val="24"/>
        </w:rPr>
        <w:t xml:space="preserve"> jsou chápány ve smyslu sociální etiky založené na morálním hodnocení sociální skutečnosti a reflexi společenské odpovědnosti.</w:t>
      </w:r>
    </w:p>
    <w:p w14:paraId="53DCD26E"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sz w:val="24"/>
        </w:rPr>
      </w:pPr>
      <w:r w:rsidRPr="001E499D">
        <w:rPr>
          <w:rFonts w:ascii="Times New Roman" w:hAnsi="Times New Roman" w:cs="Times New Roman"/>
          <w:sz w:val="24"/>
        </w:rPr>
        <w:t>Ve vymezení jednotlivých očekávaných výsledků učení na jednotlivých úrovních kvalifikací se </w:t>
      </w:r>
      <w:r w:rsidRPr="001E499D">
        <w:rPr>
          <w:rFonts w:ascii="Times New Roman" w:hAnsi="Times New Roman" w:cs="Times New Roman"/>
          <w:b/>
          <w:sz w:val="24"/>
        </w:rPr>
        <w:t>gradace</w:t>
      </w:r>
      <w:r w:rsidRPr="001E499D">
        <w:rPr>
          <w:rFonts w:ascii="Times New Roman" w:hAnsi="Times New Roman" w:cs="Times New Roman"/>
          <w:sz w:val="24"/>
        </w:rPr>
        <w:t xml:space="preserve"> promítá přímo do jejich formulace – s výjimkou </w:t>
      </w:r>
      <w:r w:rsidRPr="001E499D">
        <w:rPr>
          <w:rFonts w:ascii="Times New Roman" w:hAnsi="Times New Roman" w:cs="Times New Roman"/>
          <w:b/>
          <w:sz w:val="24"/>
        </w:rPr>
        <w:t>jazykové způsobilosti</w:t>
      </w:r>
      <w:r w:rsidRPr="001E499D">
        <w:rPr>
          <w:rFonts w:ascii="Times New Roman" w:hAnsi="Times New Roman" w:cs="Times New Roman"/>
          <w:sz w:val="24"/>
        </w:rPr>
        <w:t>. To však má své opodstatnění právě ve funkci vyjadřování kontextu, na němž pojetí obecných způsobilostí stojí. Jestliže popis rámce kvalifikací požaduje, aby absolvent studijního programu na každé jednotlivé kvalifikační úrovni byl schopen používat své odborné znalosti, odborné dovednosti a obecné způsobilosti v alespoň jednom cizím jazyce, pak se to logicky vztahuje k používání těch znalostí, dovedností a způsobilostí, které jsou očekávány na dané kvalifikační úrovni. Gradace jazykových způsobilostí je tak v RKVV stanovena implicitně. Pojetí jazykových způsobilostí zde navíc překračuje prostou komunikaci, jestliže například absolvent bakalářského studijního programu má být schopen získávat další znalosti mj. samostatným studiem teoretických poznatků oboru, pak z vymezení jazykových způsobilostí podle principu implicitní gradace plyne, že tak musí být schopen činit také v nejméně jednom cizím jazyce.</w:t>
      </w:r>
    </w:p>
    <w:p w14:paraId="5981B886"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sz w:val="24"/>
        </w:rPr>
      </w:pPr>
      <w:r w:rsidRPr="001E499D">
        <w:rPr>
          <w:rFonts w:ascii="Times New Roman" w:hAnsi="Times New Roman" w:cs="Times New Roman"/>
          <w:b/>
          <w:sz w:val="24"/>
        </w:rPr>
        <w:t>Oblast vzdělávání</w:t>
      </w:r>
      <w:r w:rsidRPr="001E499D">
        <w:rPr>
          <w:rFonts w:ascii="Times New Roman" w:hAnsi="Times New Roman" w:cs="Times New Roman"/>
          <w:sz w:val="24"/>
        </w:rPr>
        <w:t xml:space="preserve"> je věcně vymezený úsek vysokoškolského vzdělávání, v jehož rámci jsou připravovány, schvalovány a uskutečňovány studijní programy blízkého nebo příbuzného obsahového zaměření odrážející společný teoretický a metodologický základ dané oblasti vzdělávání.</w:t>
      </w:r>
    </w:p>
    <w:p w14:paraId="6090E277" w14:textId="77777777" w:rsidR="001E499D" w:rsidRPr="001E499D" w:rsidRDefault="001E499D" w:rsidP="001E499D">
      <w:pPr>
        <w:pStyle w:val="Bezmezer"/>
        <w:numPr>
          <w:ilvl w:val="0"/>
          <w:numId w:val="10"/>
        </w:numPr>
        <w:spacing w:after="80" w:line="276" w:lineRule="auto"/>
        <w:jc w:val="both"/>
        <w:rPr>
          <w:rFonts w:ascii="Times New Roman" w:hAnsi="Times New Roman" w:cs="Times New Roman"/>
          <w:sz w:val="24"/>
        </w:rPr>
      </w:pPr>
      <w:r w:rsidRPr="001E499D">
        <w:rPr>
          <w:rFonts w:ascii="Times New Roman" w:eastAsia="TimesCE-Italic" w:hAnsi="Times New Roman" w:cs="Times New Roman"/>
          <w:sz w:val="24"/>
        </w:rPr>
        <w:t xml:space="preserve">Pojem „výzkumný postup“ nebo „výzkumný problém“ zahrnuje také umělecký postup nebo umělecký problém v oborech, pro něž je to relevantní. </w:t>
      </w:r>
    </w:p>
    <w:p w14:paraId="314CDDC0" w14:textId="77777777" w:rsidR="001E499D" w:rsidRPr="001E499D" w:rsidRDefault="001E499D" w:rsidP="001E499D">
      <w:pPr>
        <w:pStyle w:val="Bezmezer"/>
        <w:numPr>
          <w:ilvl w:val="0"/>
          <w:numId w:val="10"/>
        </w:numPr>
        <w:spacing w:after="80" w:line="276" w:lineRule="auto"/>
        <w:ind w:left="357" w:hanging="357"/>
        <w:jc w:val="both"/>
        <w:rPr>
          <w:rFonts w:ascii="Times New Roman" w:hAnsi="Times New Roman" w:cs="Times New Roman"/>
          <w:sz w:val="24"/>
        </w:rPr>
      </w:pPr>
      <w:r w:rsidRPr="001E499D">
        <w:rPr>
          <w:rFonts w:ascii="Times New Roman" w:eastAsia="TimesCE-Italic" w:hAnsi="Times New Roman" w:cs="Times New Roman"/>
          <w:sz w:val="24"/>
        </w:rPr>
        <w:t>Pojem „společenské důsledky“ je chápán v nejširším smyslu a zahrnuje také vliv na životní prostředí.</w:t>
      </w:r>
    </w:p>
    <w:p w14:paraId="3DBC4604" w14:textId="77777777" w:rsidR="001E499D" w:rsidRDefault="001E499D" w:rsidP="0091185D">
      <w:pPr>
        <w:ind w:left="720"/>
        <w:jc w:val="both"/>
      </w:pPr>
    </w:p>
    <w:sectPr w:rsidR="001E499D" w:rsidSect="002F2205">
      <w:headerReference w:type="even" r:id="rId8"/>
      <w:headerReference w:type="default" r:id="rId9"/>
      <w:footerReference w:type="even" r:id="rId10"/>
      <w:footerReference w:type="default" r:id="rId11"/>
      <w:headerReference w:type="first" r:id="rId12"/>
      <w:footerReference w:type="first" r:id="rId13"/>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31149" w14:textId="77777777" w:rsidR="00335582" w:rsidRDefault="00335582" w:rsidP="001F45D3">
      <w:pPr>
        <w:spacing w:after="0" w:line="240" w:lineRule="auto"/>
      </w:pPr>
      <w:r>
        <w:separator/>
      </w:r>
    </w:p>
  </w:endnote>
  <w:endnote w:type="continuationSeparator" w:id="0">
    <w:p w14:paraId="0AE365BB" w14:textId="77777777" w:rsidR="00335582" w:rsidRDefault="00335582" w:rsidP="001F4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imesCE-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F7B4B" w14:textId="77777777" w:rsidR="00232618" w:rsidRDefault="0023261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227604"/>
      <w:docPartObj>
        <w:docPartGallery w:val="Page Numbers (Bottom of Page)"/>
        <w:docPartUnique/>
      </w:docPartObj>
    </w:sdtPr>
    <w:sdtEndPr/>
    <w:sdtContent>
      <w:p w14:paraId="3D1E75BE" w14:textId="60CC629D" w:rsidR="0038755C" w:rsidRDefault="0038755C">
        <w:pPr>
          <w:pStyle w:val="Zpat"/>
          <w:jc w:val="center"/>
        </w:pPr>
        <w:r>
          <w:fldChar w:fldCharType="begin"/>
        </w:r>
        <w:r>
          <w:instrText>PAGE   \* MERGEFORMAT</w:instrText>
        </w:r>
        <w:r>
          <w:fldChar w:fldCharType="separate"/>
        </w:r>
        <w:r w:rsidR="00254071">
          <w:rPr>
            <w:noProof/>
          </w:rPr>
          <w:t>4</w:t>
        </w:r>
        <w:r>
          <w:fldChar w:fldCharType="end"/>
        </w:r>
      </w:p>
    </w:sdtContent>
  </w:sdt>
  <w:p w14:paraId="5497DD27" w14:textId="77777777" w:rsidR="0038755C" w:rsidRDefault="0038755C">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F4EDC" w14:textId="77777777" w:rsidR="00232618" w:rsidRDefault="0023261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1D3DC" w14:textId="77777777" w:rsidR="00335582" w:rsidRDefault="00335582" w:rsidP="001F45D3">
      <w:pPr>
        <w:spacing w:after="0" w:line="240" w:lineRule="auto"/>
      </w:pPr>
      <w:r>
        <w:separator/>
      </w:r>
    </w:p>
  </w:footnote>
  <w:footnote w:type="continuationSeparator" w:id="0">
    <w:p w14:paraId="306EB2F4" w14:textId="77777777" w:rsidR="00335582" w:rsidRDefault="00335582" w:rsidP="001F45D3">
      <w:pPr>
        <w:spacing w:after="0" w:line="240" w:lineRule="auto"/>
      </w:pPr>
      <w:r>
        <w:continuationSeparator/>
      </w:r>
    </w:p>
  </w:footnote>
  <w:footnote w:id="1">
    <w:p w14:paraId="76EB7E3D" w14:textId="4E8BEAB7" w:rsidR="00C35E52" w:rsidRDefault="00C35E52">
      <w:pPr>
        <w:pStyle w:val="Textpoznpodarou"/>
      </w:pPr>
      <w:r>
        <w:rPr>
          <w:rStyle w:val="Znakapoznpodarou"/>
        </w:rPr>
        <w:footnoteRef/>
      </w:r>
      <w:r>
        <w:t xml:space="preserve"> </w:t>
      </w:r>
      <w:r w:rsidRPr="00C35E52">
        <w:rPr>
          <w:iCs/>
        </w:rPr>
        <w:t>European Credit Transfer and Accumulation System</w:t>
      </w:r>
    </w:p>
  </w:footnote>
  <w:footnote w:id="2">
    <w:p w14:paraId="6CE3E584" w14:textId="77777777" w:rsidR="001E499D" w:rsidRPr="001510E7" w:rsidRDefault="001E499D" w:rsidP="001E499D">
      <w:pPr>
        <w:pStyle w:val="Textpoznpodarou"/>
      </w:pPr>
      <w:r w:rsidRPr="001510E7">
        <w:rPr>
          <w:rStyle w:val="Znakapoznpodarou"/>
          <w:rFonts w:eastAsiaTheme="majorEastAsia"/>
        </w:rPr>
        <w:footnoteRef/>
      </w:r>
      <w:r w:rsidRPr="001510E7">
        <w:t xml:space="preserve"> Evropská unie. 2015. </w:t>
      </w:r>
      <w:r w:rsidRPr="001510E7">
        <w:rPr>
          <w:i/>
        </w:rPr>
        <w:t xml:space="preserve">ECTS </w:t>
      </w:r>
      <w:r w:rsidRPr="001510E7">
        <w:rPr>
          <w:i/>
          <w:lang w:val="en-GB"/>
        </w:rPr>
        <w:t>Users‘ Guide</w:t>
      </w:r>
      <w:r w:rsidRPr="001510E7">
        <w:rPr>
          <w:i/>
        </w:rPr>
        <w:t xml:space="preserve">. </w:t>
      </w:r>
      <w:r w:rsidRPr="001510E7">
        <w:t xml:space="preserve">Lucemburk: Publikační kancelář Evropské unie. </w:t>
      </w:r>
    </w:p>
  </w:footnote>
  <w:footnote w:id="3">
    <w:p w14:paraId="7DE8DFD4" w14:textId="77777777" w:rsidR="001E499D" w:rsidRPr="001510E7" w:rsidRDefault="001E499D" w:rsidP="001E499D">
      <w:pPr>
        <w:pStyle w:val="Textpoznpodarou"/>
      </w:pPr>
      <w:r w:rsidRPr="001510E7">
        <w:rPr>
          <w:rStyle w:val="Znakapoznpodarou"/>
          <w:rFonts w:eastAsiaTheme="majorEastAsia"/>
        </w:rPr>
        <w:footnoteRef/>
      </w:r>
      <w:r w:rsidRPr="001510E7">
        <w:t xml:space="preserve"> Uvedené platí dle uživatelského manuálu pro ECTS při tzv. plném (full-</w:t>
      </w:r>
      <w:r w:rsidRPr="001510E7">
        <w:t>time) studiu.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070E0" w14:textId="77777777" w:rsidR="00232618" w:rsidRDefault="0023261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C3022" w14:textId="21571BF0" w:rsidR="005351E5" w:rsidRDefault="005351E5" w:rsidP="005351E5">
    <w:pPr>
      <w:pStyle w:val="Zhlav"/>
      <w:tabs>
        <w:tab w:val="clear" w:pos="4536"/>
        <w:tab w:val="clear" w:pos="9072"/>
        <w:tab w:val="left" w:pos="327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FDCFF" w14:textId="77777777" w:rsidR="00232618" w:rsidRDefault="00232618">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C58C3"/>
    <w:multiLevelType w:val="hybridMultilevel"/>
    <w:tmpl w:val="F4F610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2061CD9"/>
    <w:multiLevelType w:val="hybridMultilevel"/>
    <w:tmpl w:val="D12AF7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6D75BBE"/>
    <w:multiLevelType w:val="hybridMultilevel"/>
    <w:tmpl w:val="3252F6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B2A5017"/>
    <w:multiLevelType w:val="hybridMultilevel"/>
    <w:tmpl w:val="25800344"/>
    <w:lvl w:ilvl="0" w:tplc="1CCE726C">
      <w:start w:val="1"/>
      <w:numFmt w:val="bullet"/>
      <w:lvlText w:val=""/>
      <w:lvlJc w:val="left"/>
      <w:pPr>
        <w:ind w:left="227" w:hanging="227"/>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2F4B17CC"/>
    <w:multiLevelType w:val="hybridMultilevel"/>
    <w:tmpl w:val="45761C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78F0022"/>
    <w:multiLevelType w:val="hybridMultilevel"/>
    <w:tmpl w:val="7D244C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B681882"/>
    <w:multiLevelType w:val="multilevel"/>
    <w:tmpl w:val="DB200050"/>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F152DF8"/>
    <w:multiLevelType w:val="hybridMultilevel"/>
    <w:tmpl w:val="C8B8B6D0"/>
    <w:lvl w:ilvl="0" w:tplc="04050003">
      <w:start w:val="1"/>
      <w:numFmt w:val="bullet"/>
      <w:lvlText w:val="o"/>
      <w:lvlJc w:val="left"/>
      <w:pPr>
        <w:tabs>
          <w:tab w:val="num" w:pos="720"/>
        </w:tabs>
        <w:ind w:left="720" w:hanging="360"/>
      </w:pPr>
      <w:rPr>
        <w:rFonts w:ascii="Courier New" w:hAnsi="Courier New" w:cs="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63234F2"/>
    <w:multiLevelType w:val="hybridMultilevel"/>
    <w:tmpl w:val="DC2AC51C"/>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num w:numId="1">
    <w:abstractNumId w:val="7"/>
  </w:num>
  <w:num w:numId="2">
    <w:abstractNumId w:val="2"/>
  </w:num>
  <w:num w:numId="3">
    <w:abstractNumId w:val="3"/>
  </w:num>
  <w:num w:numId="4">
    <w:abstractNumId w:val="4"/>
  </w:num>
  <w:num w:numId="5">
    <w:abstractNumId w:val="5"/>
  </w:num>
  <w:num w:numId="6">
    <w:abstractNumId w:val="0"/>
  </w:num>
  <w:num w:numId="7">
    <w:abstractNumId w:val="6"/>
  </w:num>
  <w:num w:numId="8">
    <w:abstractNumId w:val="8"/>
  </w:num>
  <w:num w:numId="9">
    <w:abstractNumId w:val="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38D"/>
    <w:rsid w:val="00014959"/>
    <w:rsid w:val="0002100E"/>
    <w:rsid w:val="00021E8F"/>
    <w:rsid w:val="000618F7"/>
    <w:rsid w:val="0008393F"/>
    <w:rsid w:val="00092EBC"/>
    <w:rsid w:val="000A0CC3"/>
    <w:rsid w:val="000A10C9"/>
    <w:rsid w:val="000B2500"/>
    <w:rsid w:val="000D5001"/>
    <w:rsid w:val="000D7AAA"/>
    <w:rsid w:val="000F2411"/>
    <w:rsid w:val="00144878"/>
    <w:rsid w:val="001516D8"/>
    <w:rsid w:val="00153281"/>
    <w:rsid w:val="00153633"/>
    <w:rsid w:val="001629DE"/>
    <w:rsid w:val="00197D8C"/>
    <w:rsid w:val="001A4355"/>
    <w:rsid w:val="001B0145"/>
    <w:rsid w:val="001C3C37"/>
    <w:rsid w:val="001E499D"/>
    <w:rsid w:val="001E5B9B"/>
    <w:rsid w:val="001E5F8C"/>
    <w:rsid w:val="001F23DF"/>
    <w:rsid w:val="001F45D3"/>
    <w:rsid w:val="00215069"/>
    <w:rsid w:val="00230886"/>
    <w:rsid w:val="00232618"/>
    <w:rsid w:val="00233B71"/>
    <w:rsid w:val="00254071"/>
    <w:rsid w:val="00257977"/>
    <w:rsid w:val="002670DB"/>
    <w:rsid w:val="00292213"/>
    <w:rsid w:val="002A11BA"/>
    <w:rsid w:val="002B165C"/>
    <w:rsid w:val="002C193E"/>
    <w:rsid w:val="002C45F5"/>
    <w:rsid w:val="002D1D8C"/>
    <w:rsid w:val="002D53F5"/>
    <w:rsid w:val="002F2205"/>
    <w:rsid w:val="002F5636"/>
    <w:rsid w:val="003009A9"/>
    <w:rsid w:val="00310192"/>
    <w:rsid w:val="00335582"/>
    <w:rsid w:val="0036423B"/>
    <w:rsid w:val="003643E9"/>
    <w:rsid w:val="00365414"/>
    <w:rsid w:val="00382D5A"/>
    <w:rsid w:val="0038755C"/>
    <w:rsid w:val="0039712E"/>
    <w:rsid w:val="003A628E"/>
    <w:rsid w:val="003C22C7"/>
    <w:rsid w:val="003C3C71"/>
    <w:rsid w:val="00401709"/>
    <w:rsid w:val="00407E21"/>
    <w:rsid w:val="00422270"/>
    <w:rsid w:val="00425C1A"/>
    <w:rsid w:val="004435D6"/>
    <w:rsid w:val="00443C6B"/>
    <w:rsid w:val="00444420"/>
    <w:rsid w:val="0044448A"/>
    <w:rsid w:val="00444F52"/>
    <w:rsid w:val="00494B09"/>
    <w:rsid w:val="004D04DE"/>
    <w:rsid w:val="004E4609"/>
    <w:rsid w:val="004F7A80"/>
    <w:rsid w:val="00523DE8"/>
    <w:rsid w:val="005351E5"/>
    <w:rsid w:val="0053727C"/>
    <w:rsid w:val="00567791"/>
    <w:rsid w:val="00582556"/>
    <w:rsid w:val="00582D87"/>
    <w:rsid w:val="00597ED8"/>
    <w:rsid w:val="005B00F7"/>
    <w:rsid w:val="005C4610"/>
    <w:rsid w:val="005C5538"/>
    <w:rsid w:val="005D1396"/>
    <w:rsid w:val="005E052E"/>
    <w:rsid w:val="00604A10"/>
    <w:rsid w:val="006222A1"/>
    <w:rsid w:val="00635F46"/>
    <w:rsid w:val="006523F3"/>
    <w:rsid w:val="00653501"/>
    <w:rsid w:val="006778EC"/>
    <w:rsid w:val="00686544"/>
    <w:rsid w:val="0069263A"/>
    <w:rsid w:val="007037FC"/>
    <w:rsid w:val="00714B4C"/>
    <w:rsid w:val="007300DC"/>
    <w:rsid w:val="00731578"/>
    <w:rsid w:val="00771A5C"/>
    <w:rsid w:val="007725B4"/>
    <w:rsid w:val="00782D97"/>
    <w:rsid w:val="007943EB"/>
    <w:rsid w:val="007947C9"/>
    <w:rsid w:val="00796626"/>
    <w:rsid w:val="007A51B5"/>
    <w:rsid w:val="007A6415"/>
    <w:rsid w:val="007C3323"/>
    <w:rsid w:val="007C391A"/>
    <w:rsid w:val="007D5497"/>
    <w:rsid w:val="007E73A9"/>
    <w:rsid w:val="0080707D"/>
    <w:rsid w:val="008430AF"/>
    <w:rsid w:val="00871C90"/>
    <w:rsid w:val="008832A6"/>
    <w:rsid w:val="008B338D"/>
    <w:rsid w:val="008C00BA"/>
    <w:rsid w:val="008C29A7"/>
    <w:rsid w:val="008D0320"/>
    <w:rsid w:val="008D4B4D"/>
    <w:rsid w:val="008E729C"/>
    <w:rsid w:val="00902B7F"/>
    <w:rsid w:val="0091185D"/>
    <w:rsid w:val="00923D2A"/>
    <w:rsid w:val="009258B5"/>
    <w:rsid w:val="00941EB0"/>
    <w:rsid w:val="009523B9"/>
    <w:rsid w:val="009A06C9"/>
    <w:rsid w:val="009B3317"/>
    <w:rsid w:val="009E2D6D"/>
    <w:rsid w:val="009F7475"/>
    <w:rsid w:val="00A13801"/>
    <w:rsid w:val="00A148C8"/>
    <w:rsid w:val="00A15C58"/>
    <w:rsid w:val="00A31FA5"/>
    <w:rsid w:val="00A576BF"/>
    <w:rsid w:val="00A64B59"/>
    <w:rsid w:val="00A76C53"/>
    <w:rsid w:val="00A80983"/>
    <w:rsid w:val="00A81921"/>
    <w:rsid w:val="00AD26C2"/>
    <w:rsid w:val="00AD45D9"/>
    <w:rsid w:val="00AD57D8"/>
    <w:rsid w:val="00AF1D27"/>
    <w:rsid w:val="00B17BF2"/>
    <w:rsid w:val="00B34596"/>
    <w:rsid w:val="00B37656"/>
    <w:rsid w:val="00B37B52"/>
    <w:rsid w:val="00B51FEB"/>
    <w:rsid w:val="00B60931"/>
    <w:rsid w:val="00BF3ABD"/>
    <w:rsid w:val="00C305FE"/>
    <w:rsid w:val="00C35E52"/>
    <w:rsid w:val="00C60D5C"/>
    <w:rsid w:val="00C714CE"/>
    <w:rsid w:val="00C72F68"/>
    <w:rsid w:val="00C81E3D"/>
    <w:rsid w:val="00C85213"/>
    <w:rsid w:val="00CD0974"/>
    <w:rsid w:val="00CD098C"/>
    <w:rsid w:val="00CF30BC"/>
    <w:rsid w:val="00D10745"/>
    <w:rsid w:val="00D227A6"/>
    <w:rsid w:val="00D22E01"/>
    <w:rsid w:val="00D40176"/>
    <w:rsid w:val="00DA41C4"/>
    <w:rsid w:val="00DC1743"/>
    <w:rsid w:val="00DC7F32"/>
    <w:rsid w:val="00DD2D0A"/>
    <w:rsid w:val="00DE0EA6"/>
    <w:rsid w:val="00DE4842"/>
    <w:rsid w:val="00DE70FA"/>
    <w:rsid w:val="00DF084F"/>
    <w:rsid w:val="00E70A5D"/>
    <w:rsid w:val="00E74C61"/>
    <w:rsid w:val="00E85CF2"/>
    <w:rsid w:val="00E96A91"/>
    <w:rsid w:val="00EA38E6"/>
    <w:rsid w:val="00EA56A5"/>
    <w:rsid w:val="00EE1510"/>
    <w:rsid w:val="00EE1992"/>
    <w:rsid w:val="00EF75FD"/>
    <w:rsid w:val="00F07E09"/>
    <w:rsid w:val="00F3157F"/>
    <w:rsid w:val="00F320BC"/>
    <w:rsid w:val="00F504A1"/>
    <w:rsid w:val="00F652CA"/>
    <w:rsid w:val="00F663ED"/>
    <w:rsid w:val="00F87C44"/>
    <w:rsid w:val="00FA31D8"/>
    <w:rsid w:val="00FA697A"/>
    <w:rsid w:val="00FE75D1"/>
    <w:rsid w:val="00FF2C39"/>
    <w:rsid w:val="00FF531C"/>
    <w:rsid w:val="00FF6B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3FC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F45D3"/>
  </w:style>
  <w:style w:type="paragraph" w:styleId="Nadpis1">
    <w:name w:val="heading 1"/>
    <w:basedOn w:val="Normln"/>
    <w:next w:val="Normln"/>
    <w:link w:val="Nadpis1Char"/>
    <w:uiPriority w:val="9"/>
    <w:qFormat/>
    <w:rsid w:val="001F45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1E5B9B"/>
    <w:pPr>
      <w:keepNext/>
      <w:keepLines/>
      <w:spacing w:before="200" w:after="12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1F45D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1F45D3"/>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1F45D3"/>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1F45D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1F45D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1F45D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1F45D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1F45D3"/>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semiHidden/>
    <w:rsid w:val="001F45D3"/>
    <w:rPr>
      <w:rFonts w:ascii="Times New Roman" w:eastAsia="Times New Roman" w:hAnsi="Times New Roman" w:cs="Times New Roman"/>
      <w:sz w:val="20"/>
      <w:szCs w:val="20"/>
      <w:lang w:eastAsia="cs-CZ"/>
    </w:rPr>
  </w:style>
  <w:style w:type="character" w:styleId="Znakapoznpodarou">
    <w:name w:val="footnote reference"/>
    <w:semiHidden/>
    <w:rsid w:val="001F45D3"/>
    <w:rPr>
      <w:vertAlign w:val="superscript"/>
    </w:rPr>
  </w:style>
  <w:style w:type="paragraph" w:styleId="Odstavecseseznamem">
    <w:name w:val="List Paragraph"/>
    <w:basedOn w:val="Normln"/>
    <w:uiPriority w:val="34"/>
    <w:qFormat/>
    <w:rsid w:val="001F45D3"/>
    <w:pPr>
      <w:ind w:left="720"/>
      <w:contextualSpacing/>
    </w:pPr>
  </w:style>
  <w:style w:type="character" w:customStyle="1" w:styleId="Nadpis1Char">
    <w:name w:val="Nadpis 1 Char"/>
    <w:basedOn w:val="Standardnpsmoodstavce"/>
    <w:link w:val="Nadpis1"/>
    <w:uiPriority w:val="9"/>
    <w:rsid w:val="001F45D3"/>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1E5B9B"/>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semiHidden/>
    <w:rsid w:val="001F45D3"/>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1F45D3"/>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1F45D3"/>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1F45D3"/>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1F45D3"/>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1F45D3"/>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1F45D3"/>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1F45D3"/>
    <w:pPr>
      <w:spacing w:line="240" w:lineRule="auto"/>
    </w:pPr>
    <w:rPr>
      <w:b/>
      <w:bCs/>
      <w:color w:val="4F81BD" w:themeColor="accent1"/>
      <w:sz w:val="18"/>
      <w:szCs w:val="18"/>
    </w:rPr>
  </w:style>
  <w:style w:type="paragraph" w:styleId="Nzev">
    <w:name w:val="Title"/>
    <w:basedOn w:val="Normln"/>
    <w:next w:val="Normln"/>
    <w:link w:val="NzevChar"/>
    <w:uiPriority w:val="10"/>
    <w:qFormat/>
    <w:rsid w:val="001F45D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F45D3"/>
    <w:rPr>
      <w:rFonts w:asciiTheme="majorHAnsi" w:eastAsiaTheme="majorEastAsia" w:hAnsiTheme="majorHAnsi" w:cstheme="majorBidi"/>
      <w:color w:val="17365D" w:themeColor="text2" w:themeShade="BF"/>
      <w:spacing w:val="5"/>
      <w:kern w:val="28"/>
      <w:sz w:val="52"/>
      <w:szCs w:val="52"/>
    </w:rPr>
  </w:style>
  <w:style w:type="paragraph" w:styleId="Podnadpis">
    <w:name w:val="Subtitle"/>
    <w:basedOn w:val="Normln"/>
    <w:next w:val="Normln"/>
    <w:link w:val="PodnadpisChar"/>
    <w:uiPriority w:val="11"/>
    <w:qFormat/>
    <w:rsid w:val="001F45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dpisChar">
    <w:name w:val="Podnadpis Char"/>
    <w:basedOn w:val="Standardnpsmoodstavce"/>
    <w:link w:val="Podnadpis"/>
    <w:uiPriority w:val="11"/>
    <w:rsid w:val="001F45D3"/>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1F45D3"/>
    <w:rPr>
      <w:b/>
      <w:bCs/>
    </w:rPr>
  </w:style>
  <w:style w:type="character" w:styleId="Zdraznn">
    <w:name w:val="Emphasis"/>
    <w:basedOn w:val="Standardnpsmoodstavce"/>
    <w:uiPriority w:val="20"/>
    <w:qFormat/>
    <w:rsid w:val="001F45D3"/>
    <w:rPr>
      <w:i/>
      <w:iCs/>
    </w:rPr>
  </w:style>
  <w:style w:type="paragraph" w:styleId="Bezmezer">
    <w:name w:val="No Spacing"/>
    <w:link w:val="BezmezerChar"/>
    <w:uiPriority w:val="1"/>
    <w:qFormat/>
    <w:rsid w:val="001F45D3"/>
    <w:pPr>
      <w:spacing w:after="0" w:line="240" w:lineRule="auto"/>
    </w:pPr>
  </w:style>
  <w:style w:type="character" w:customStyle="1" w:styleId="BezmezerChar">
    <w:name w:val="Bez mezer Char"/>
    <w:basedOn w:val="Standardnpsmoodstavce"/>
    <w:link w:val="Bezmezer"/>
    <w:uiPriority w:val="1"/>
    <w:rsid w:val="001F45D3"/>
  </w:style>
  <w:style w:type="paragraph" w:styleId="Citt">
    <w:name w:val="Quote"/>
    <w:basedOn w:val="Normln"/>
    <w:next w:val="Normln"/>
    <w:link w:val="CittChar"/>
    <w:uiPriority w:val="29"/>
    <w:qFormat/>
    <w:rsid w:val="001F45D3"/>
    <w:rPr>
      <w:i/>
      <w:iCs/>
      <w:color w:val="000000" w:themeColor="text1"/>
    </w:rPr>
  </w:style>
  <w:style w:type="character" w:customStyle="1" w:styleId="CittChar">
    <w:name w:val="Citát Char"/>
    <w:basedOn w:val="Standardnpsmoodstavce"/>
    <w:link w:val="Citt"/>
    <w:uiPriority w:val="29"/>
    <w:rsid w:val="001F45D3"/>
    <w:rPr>
      <w:i/>
      <w:iCs/>
      <w:color w:val="000000" w:themeColor="text1"/>
    </w:rPr>
  </w:style>
  <w:style w:type="paragraph" w:styleId="Vrazncitt">
    <w:name w:val="Intense Quote"/>
    <w:basedOn w:val="Normln"/>
    <w:next w:val="Normln"/>
    <w:link w:val="VrazncittChar"/>
    <w:uiPriority w:val="30"/>
    <w:qFormat/>
    <w:rsid w:val="001F45D3"/>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1F45D3"/>
    <w:rPr>
      <w:b/>
      <w:bCs/>
      <w:i/>
      <w:iCs/>
      <w:color w:val="4F81BD" w:themeColor="accent1"/>
    </w:rPr>
  </w:style>
  <w:style w:type="character" w:styleId="Zdraznnjemn">
    <w:name w:val="Subtle Emphasis"/>
    <w:basedOn w:val="Standardnpsmoodstavce"/>
    <w:uiPriority w:val="19"/>
    <w:qFormat/>
    <w:rsid w:val="001F45D3"/>
    <w:rPr>
      <w:i/>
      <w:iCs/>
      <w:color w:val="808080" w:themeColor="text1" w:themeTint="7F"/>
    </w:rPr>
  </w:style>
  <w:style w:type="character" w:styleId="Zdraznnintenzivn">
    <w:name w:val="Intense Emphasis"/>
    <w:basedOn w:val="Standardnpsmoodstavce"/>
    <w:uiPriority w:val="21"/>
    <w:qFormat/>
    <w:rsid w:val="001F45D3"/>
    <w:rPr>
      <w:b/>
      <w:bCs/>
      <w:i/>
      <w:iCs/>
      <w:color w:val="4F81BD" w:themeColor="accent1"/>
    </w:rPr>
  </w:style>
  <w:style w:type="character" w:styleId="Odkazjemn">
    <w:name w:val="Subtle Reference"/>
    <w:basedOn w:val="Standardnpsmoodstavce"/>
    <w:uiPriority w:val="31"/>
    <w:qFormat/>
    <w:rsid w:val="001F45D3"/>
    <w:rPr>
      <w:smallCaps/>
      <w:color w:val="C0504D" w:themeColor="accent2"/>
      <w:u w:val="single"/>
    </w:rPr>
  </w:style>
  <w:style w:type="character" w:styleId="Odkazintenzivn">
    <w:name w:val="Intense Reference"/>
    <w:basedOn w:val="Standardnpsmoodstavce"/>
    <w:uiPriority w:val="32"/>
    <w:qFormat/>
    <w:rsid w:val="001F45D3"/>
    <w:rPr>
      <w:b/>
      <w:bCs/>
      <w:smallCaps/>
      <w:color w:val="C0504D" w:themeColor="accent2"/>
      <w:spacing w:val="5"/>
      <w:u w:val="single"/>
    </w:rPr>
  </w:style>
  <w:style w:type="character" w:styleId="Nzevknihy">
    <w:name w:val="Book Title"/>
    <w:basedOn w:val="Standardnpsmoodstavce"/>
    <w:uiPriority w:val="33"/>
    <w:qFormat/>
    <w:rsid w:val="001F45D3"/>
    <w:rPr>
      <w:b/>
      <w:bCs/>
      <w:smallCaps/>
      <w:spacing w:val="5"/>
    </w:rPr>
  </w:style>
  <w:style w:type="paragraph" w:styleId="Nadpisobsahu">
    <w:name w:val="TOC Heading"/>
    <w:basedOn w:val="Nadpis1"/>
    <w:next w:val="Normln"/>
    <w:uiPriority w:val="39"/>
    <w:semiHidden/>
    <w:unhideWhenUsed/>
    <w:qFormat/>
    <w:rsid w:val="001F45D3"/>
    <w:pPr>
      <w:outlineLvl w:val="9"/>
    </w:pPr>
  </w:style>
  <w:style w:type="paragraph" w:styleId="Zhlav">
    <w:name w:val="header"/>
    <w:basedOn w:val="Normln"/>
    <w:link w:val="ZhlavChar"/>
    <w:uiPriority w:val="99"/>
    <w:unhideWhenUsed/>
    <w:rsid w:val="00EE1992"/>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uiPriority w:val="99"/>
    <w:rsid w:val="00EE1992"/>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8755C"/>
    <w:pPr>
      <w:tabs>
        <w:tab w:val="center" w:pos="4536"/>
        <w:tab w:val="right" w:pos="9072"/>
      </w:tabs>
      <w:spacing w:after="0" w:line="240" w:lineRule="auto"/>
    </w:pPr>
  </w:style>
  <w:style w:type="character" w:customStyle="1" w:styleId="ZpatChar">
    <w:name w:val="Zápatí Char"/>
    <w:basedOn w:val="Standardnpsmoodstavce"/>
    <w:link w:val="Zpat"/>
    <w:uiPriority w:val="99"/>
    <w:rsid w:val="0038755C"/>
  </w:style>
  <w:style w:type="paragraph" w:styleId="Textbubliny">
    <w:name w:val="Balloon Text"/>
    <w:basedOn w:val="Normln"/>
    <w:link w:val="TextbublinyChar"/>
    <w:uiPriority w:val="99"/>
    <w:semiHidden/>
    <w:unhideWhenUsed/>
    <w:rsid w:val="0065350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53501"/>
    <w:rPr>
      <w:rFonts w:ascii="Segoe UI" w:hAnsi="Segoe UI" w:cs="Segoe UI"/>
      <w:sz w:val="18"/>
      <w:szCs w:val="18"/>
    </w:rPr>
  </w:style>
  <w:style w:type="character" w:styleId="Odkaznakoment">
    <w:name w:val="annotation reference"/>
    <w:basedOn w:val="Standardnpsmoodstavce"/>
    <w:uiPriority w:val="99"/>
    <w:semiHidden/>
    <w:unhideWhenUsed/>
    <w:rsid w:val="002C193E"/>
    <w:rPr>
      <w:sz w:val="16"/>
      <w:szCs w:val="16"/>
    </w:rPr>
  </w:style>
  <w:style w:type="paragraph" w:styleId="Textkomente">
    <w:name w:val="annotation text"/>
    <w:basedOn w:val="Normln"/>
    <w:link w:val="TextkomenteChar"/>
    <w:uiPriority w:val="99"/>
    <w:semiHidden/>
    <w:unhideWhenUsed/>
    <w:rsid w:val="002C193E"/>
    <w:pPr>
      <w:spacing w:line="240" w:lineRule="auto"/>
    </w:pPr>
    <w:rPr>
      <w:sz w:val="20"/>
      <w:szCs w:val="20"/>
    </w:rPr>
  </w:style>
  <w:style w:type="character" w:customStyle="1" w:styleId="TextkomenteChar">
    <w:name w:val="Text komentáře Char"/>
    <w:basedOn w:val="Standardnpsmoodstavce"/>
    <w:link w:val="Textkomente"/>
    <w:uiPriority w:val="99"/>
    <w:semiHidden/>
    <w:rsid w:val="002C193E"/>
    <w:rPr>
      <w:sz w:val="20"/>
      <w:szCs w:val="20"/>
    </w:rPr>
  </w:style>
  <w:style w:type="paragraph" w:styleId="Pedmtkomente">
    <w:name w:val="annotation subject"/>
    <w:basedOn w:val="Textkomente"/>
    <w:next w:val="Textkomente"/>
    <w:link w:val="PedmtkomenteChar"/>
    <w:uiPriority w:val="99"/>
    <w:semiHidden/>
    <w:unhideWhenUsed/>
    <w:rsid w:val="002C193E"/>
    <w:rPr>
      <w:b/>
      <w:bCs/>
    </w:rPr>
  </w:style>
  <w:style w:type="character" w:customStyle="1" w:styleId="PedmtkomenteChar">
    <w:name w:val="Předmět komentáře Char"/>
    <w:basedOn w:val="TextkomenteChar"/>
    <w:link w:val="Pedmtkomente"/>
    <w:uiPriority w:val="99"/>
    <w:semiHidden/>
    <w:rsid w:val="002C19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2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1F0C6-9827-4D58-8A75-7312C152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2067</Words>
  <Characters>12201</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2018-12-17T09:34:00Z</dcterms:created>
  <dcterms:modified xsi:type="dcterms:W3CDTF">2018-12-17T09:34:00Z</dcterms:modified>
</cp:coreProperties>
</file>